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0" w14:textId="77777777" w:rsidR="00B06917" w:rsidRDefault="00000000">
      <w:r>
        <w:br w:type="page"/>
      </w:r>
    </w:p>
    <w:p w14:paraId="00000021" w14:textId="77777777" w:rsidR="00B06917" w:rsidRDefault="00B06917">
      <w:pPr>
        <w:jc w:val="center"/>
        <w:rPr>
          <w:rFonts w:ascii="Times New Roman" w:eastAsia="Times New Roman" w:hAnsi="Times New Roman" w:cs="Times New Roman"/>
        </w:rPr>
      </w:pP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000000">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000000">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000000">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000000">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000000">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000000">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000000">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000000">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000000">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000000">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000000">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000000">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000000">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000000">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000000">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000000">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000000">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000000">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000000">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000000">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000000">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000000">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000000">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000000">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000000">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000000">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000000">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448E7120" w14:textId="181F0FB3" w:rsid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r w:rsidRPr="00297238">
        <w:rPr>
          <w:rFonts w:ascii="Times New Roman" w:eastAsia="Times New Roman" w:hAnsi="Times New Roman" w:cs="Times New Roman"/>
          <w:color w:val="000000"/>
          <w:lang w:val="en-US"/>
        </w:rPr>
        <w:t xml:space="preserve">• </w:t>
      </w:r>
      <w:r w:rsidRPr="00297238">
        <w:rPr>
          <w:rFonts w:ascii="Times New Roman" w:eastAsia="Times New Roman" w:hAnsi="Times New Roman" w:cs="Times New Roman"/>
          <w:b/>
          <w:bCs/>
          <w:color w:val="000000"/>
          <w:lang w:val="en-US"/>
        </w:rPr>
        <w:t>Deb et al. (2016)</w:t>
      </w:r>
      <w:r w:rsidRPr="00297238">
        <w:rPr>
          <w:rFonts w:ascii="Times New Roman" w:eastAsia="Times New Roman" w:hAnsi="Times New Roman" w:cs="Times New Roman"/>
          <w:color w:val="000000"/>
          <w:lang w:val="en-US"/>
        </w:rPr>
        <w:t xml:space="preserve"> conducted a cross-sectional study of 717 Indian university students to assess the prevalence of depression and related factors. They reported high levels of depressive symptoms, with nearly half of participants falling in the moderate to severe range. Depression was significantly associated with students’ perceptions of their academic environment, living arrangements, and personal stressors. </w:t>
      </w:r>
      <w:r w:rsidR="00C21BC5" w:rsidRPr="00C21BC5">
        <w:rPr>
          <w:rFonts w:ascii="Times New Roman" w:eastAsia="Times New Roman" w:hAnsi="Times New Roman" w:cs="Times New Roman"/>
          <w:color w:val="000000"/>
          <w:lang w:val="en-US"/>
        </w:rPr>
        <w:t>Conclusions about variations in academic performance were limited because the study did not compare CGPA between depressed and non-depressed individuals</w:t>
      </w:r>
      <w:r w:rsidR="00035B19">
        <w:rPr>
          <w:rFonts w:ascii="Times New Roman" w:eastAsia="Times New Roman" w:hAnsi="Times New Roman" w:cs="Times New Roman"/>
          <w:color w:val="000000"/>
          <w:lang w:val="en-US"/>
        </w:rPr>
        <w:t>.</w:t>
      </w:r>
    </w:p>
    <w:p w14:paraId="619B4FCA" w14:textId="77777777" w:rsidR="00297238" w:rsidRP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p>
    <w:p w14:paraId="2796C44C" w14:textId="7A1B9EED" w:rsid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r w:rsidRPr="00297238">
        <w:rPr>
          <w:rFonts w:ascii="Times New Roman" w:eastAsia="Times New Roman" w:hAnsi="Times New Roman" w:cs="Times New Roman"/>
          <w:color w:val="000000"/>
          <w:lang w:val="en-US"/>
        </w:rPr>
        <w:t xml:space="preserve">• </w:t>
      </w:r>
      <w:r w:rsidRPr="00297238">
        <w:rPr>
          <w:rFonts w:ascii="Times New Roman" w:eastAsia="Times New Roman" w:hAnsi="Times New Roman" w:cs="Times New Roman"/>
          <w:b/>
          <w:bCs/>
          <w:color w:val="000000"/>
          <w:lang w:val="en-US"/>
        </w:rPr>
        <w:t>Tripathi et al. (2022)</w:t>
      </w:r>
      <w:r w:rsidRPr="00297238">
        <w:rPr>
          <w:rFonts w:ascii="Times New Roman" w:eastAsia="Times New Roman" w:hAnsi="Times New Roman" w:cs="Times New Roman"/>
          <w:color w:val="000000"/>
          <w:lang w:val="en-US"/>
        </w:rPr>
        <w:t xml:space="preserve"> evaluated depression, anxiety, and stress among 473 healthcare students using </w:t>
      </w:r>
      <w:proofErr w:type="gramStart"/>
      <w:r w:rsidRPr="00297238">
        <w:rPr>
          <w:rFonts w:ascii="Times New Roman" w:eastAsia="Times New Roman" w:hAnsi="Times New Roman" w:cs="Times New Roman"/>
          <w:color w:val="000000"/>
          <w:lang w:val="en-US"/>
        </w:rPr>
        <w:t>the DASS</w:t>
      </w:r>
      <w:proofErr w:type="gramEnd"/>
      <w:r w:rsidRPr="00297238">
        <w:rPr>
          <w:rFonts w:ascii="Times New Roman" w:eastAsia="Times New Roman" w:hAnsi="Times New Roman" w:cs="Times New Roman"/>
          <w:color w:val="000000"/>
          <w:lang w:val="en-US"/>
        </w:rPr>
        <w:t xml:space="preserve">-21. The study found substantial psychological distress and reported that higher CGPA was associated with greater levels of DAS, which the authors attributed to competitive academic demands within healthcare </w:t>
      </w:r>
      <w:r w:rsidR="00035B19" w:rsidRPr="00297238">
        <w:rPr>
          <w:rFonts w:ascii="Times New Roman" w:eastAsia="Times New Roman" w:hAnsi="Times New Roman" w:cs="Times New Roman"/>
          <w:color w:val="000000"/>
          <w:lang w:val="en-US"/>
        </w:rPr>
        <w:t>programs</w:t>
      </w:r>
      <w:r w:rsidRPr="00297238">
        <w:rPr>
          <w:rFonts w:ascii="Times New Roman" w:eastAsia="Times New Roman" w:hAnsi="Times New Roman" w:cs="Times New Roman"/>
          <w:color w:val="000000"/>
          <w:lang w:val="en-US"/>
        </w:rPr>
        <w:t xml:space="preserve">. However, the study did not provide a direct </w:t>
      </w:r>
      <w:proofErr w:type="gramStart"/>
      <w:r w:rsidRPr="00297238">
        <w:rPr>
          <w:rFonts w:ascii="Times New Roman" w:eastAsia="Times New Roman" w:hAnsi="Times New Roman" w:cs="Times New Roman"/>
          <w:color w:val="000000"/>
          <w:lang w:val="en-US"/>
        </w:rPr>
        <w:t>median</w:t>
      </w:r>
      <w:proofErr w:type="gramEnd"/>
      <w:r w:rsidRPr="00297238">
        <w:rPr>
          <w:rFonts w:ascii="Times New Roman" w:eastAsia="Times New Roman" w:hAnsi="Times New Roman" w:cs="Times New Roman"/>
          <w:color w:val="000000"/>
          <w:lang w:val="en-US"/>
        </w:rPr>
        <w:t>-based comparison of CGPA between depressed and non-depressed students, reducing its relevance to analyses focused specifically on academic score differences.</w:t>
      </w:r>
    </w:p>
    <w:p w14:paraId="206F25EC" w14:textId="77777777" w:rsidR="00297238" w:rsidRP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p>
    <w:p w14:paraId="5DF5721F" w14:textId="77777777" w:rsidR="00297238" w:rsidRPr="00297238" w:rsidRDefault="00297238" w:rsidP="002F3D43">
      <w:pPr>
        <w:pBdr>
          <w:top w:val="nil"/>
          <w:left w:val="nil"/>
          <w:bottom w:val="nil"/>
          <w:right w:val="nil"/>
          <w:between w:val="nil"/>
        </w:pBdr>
        <w:ind w:left="-90"/>
        <w:jc w:val="both"/>
        <w:rPr>
          <w:rFonts w:ascii="Times New Roman" w:eastAsia="Times New Roman" w:hAnsi="Times New Roman" w:cs="Times New Roman"/>
          <w:color w:val="000000"/>
          <w:lang w:val="en-US"/>
        </w:rPr>
      </w:pPr>
      <w:r w:rsidRPr="00297238">
        <w:rPr>
          <w:rFonts w:ascii="Times New Roman" w:eastAsia="Times New Roman" w:hAnsi="Times New Roman" w:cs="Times New Roman"/>
          <w:color w:val="000000"/>
          <w:lang w:val="en-US"/>
        </w:rPr>
        <w:t xml:space="preserve">• </w:t>
      </w:r>
      <w:r w:rsidRPr="00297238">
        <w:rPr>
          <w:rFonts w:ascii="Times New Roman" w:eastAsia="Times New Roman" w:hAnsi="Times New Roman" w:cs="Times New Roman"/>
          <w:b/>
          <w:bCs/>
          <w:color w:val="000000"/>
          <w:lang w:val="en-US"/>
        </w:rPr>
        <w:t>Awadalla et al. (2024)</w:t>
      </w:r>
      <w:r w:rsidRPr="00297238">
        <w:rPr>
          <w:rFonts w:ascii="Times New Roman" w:eastAsia="Times New Roman" w:hAnsi="Times New Roman" w:cs="Times New Roman"/>
          <w:color w:val="000000"/>
          <w:lang w:val="en-US"/>
        </w:rPr>
        <w:t xml:space="preserve">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The review concluded that depression is a significant predictor of diminished academic achievement across diverse contexts.</w:t>
      </w: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t>Visualisation</w:t>
      </w:r>
    </w:p>
    <w:p w14:paraId="00000053" w14:textId="77777777" w:rsidR="00B06917" w:rsidRDefault="00000000">
      <w:pPr>
        <w:pStyle w:val="Heading3"/>
        <w:numPr>
          <w:ilvl w:val="1"/>
          <w:numId w:val="2"/>
        </w:numPr>
        <w:ind w:left="-90" w:firstLine="0"/>
      </w:pPr>
      <w:bookmarkStart w:id="10" w:name="_ivnlkwfl4dba" w:colFirst="0" w:colLast="0"/>
      <w:bookmarkEnd w:id="10"/>
      <w:r>
        <w:t xml:space="preserve">Appropriate graphs for the RQ </w:t>
      </w:r>
      <w:r>
        <w:rPr>
          <w:i/>
          <w:iCs/>
          <w:highlight w:val="yellow"/>
        </w:rPr>
        <w:t>output of an R script (NOT a screenshot)</w:t>
      </w:r>
      <w:r>
        <w:rPr>
          <w:i/>
          <w:iCs/>
        </w:rPr>
        <w:t xml:space="preserve"> </w:t>
      </w:r>
      <w:r>
        <w:t xml:space="preserve">(50 words) </w:t>
      </w:r>
    </w:p>
    <w:p w14:paraId="00000054"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Explain the choice of the plot.</w:t>
      </w:r>
    </w:p>
    <w:p w14:paraId="00000055"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 xml:space="preserve">Include your main plot relevant to the RQ type. </w:t>
      </w:r>
    </w:p>
    <w:p w14:paraId="00000056"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273540"/>
          <w:highlight w:val="yellow"/>
        </w:rPr>
        <w:t>Include histogram or contingency table (think what is suitable) in addition to the main plot.</w:t>
      </w:r>
    </w:p>
    <w:p w14:paraId="00000057"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 xml:space="preserve">Anything on the plot from R is not counted towards word count limit (e.g. legend, axes titles, name). </w:t>
      </w:r>
    </w:p>
    <w:p w14:paraId="00000058"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that the plot is from output of an R script (NOT a screenshot).</w:t>
      </w:r>
    </w:p>
    <w:p w14:paraId="00000059"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that the plot has a caption or title, X and Y-axis labels with units where appropriate, and legend.</w:t>
      </w:r>
    </w:p>
    <w:p w14:paraId="0000005A" w14:textId="77777777" w:rsidR="00B06917" w:rsidRDefault="00000000">
      <w:pPr>
        <w:numPr>
          <w:ilvl w:val="0"/>
          <w:numId w:val="7"/>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the title or caption and axis labels are informative and written in English.</w:t>
      </w:r>
    </w:p>
    <w:p w14:paraId="0000005B" w14:textId="77777777" w:rsidR="00B06917" w:rsidRDefault="00B06917">
      <w:pPr>
        <w:pBdr>
          <w:top w:val="nil"/>
          <w:left w:val="nil"/>
          <w:bottom w:val="nil"/>
          <w:right w:val="nil"/>
          <w:between w:val="nil"/>
        </w:pBdr>
        <w:ind w:left="-90"/>
        <w:rPr>
          <w:rFonts w:ascii="Times New Roman" w:eastAsia="Times New Roman" w:hAnsi="Times New Roman" w:cs="Times New Roman"/>
          <w:i/>
          <w:iCs/>
          <w:color w:val="000000"/>
        </w:rPr>
      </w:pPr>
    </w:p>
    <w:p w14:paraId="0000005C" w14:textId="77777777" w:rsidR="00B06917" w:rsidRDefault="00000000">
      <w:pPr>
        <w:pStyle w:val="Heading3"/>
        <w:numPr>
          <w:ilvl w:val="1"/>
          <w:numId w:val="2"/>
        </w:numPr>
        <w:ind w:left="-90" w:firstLine="0"/>
        <w:rPr>
          <w:i/>
          <w:iCs/>
        </w:rPr>
      </w:pPr>
      <w:bookmarkStart w:id="11" w:name="_p2vnsbineyse" w:colFirst="0" w:colLast="0"/>
      <w:bookmarkEnd w:id="11"/>
      <w:r>
        <w:t>Additional information relating to understanding the data (optional) (50 words)</w:t>
      </w:r>
      <w:r>
        <w:rPr>
          <w:i/>
          <w:iCs/>
        </w:rPr>
        <w:t xml:space="preserve"> </w:t>
      </w:r>
    </w:p>
    <w:p w14:paraId="0000005D" w14:textId="77777777" w:rsidR="00B06917" w:rsidRDefault="00000000">
      <w:pPr>
        <w:numPr>
          <w:ilvl w:val="0"/>
          <w:numId w:val="6"/>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5E"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00000060" w14:textId="77777777" w:rsidR="00B06917" w:rsidRDefault="00000000">
      <w:pPr>
        <w:numPr>
          <w:ilvl w:val="0"/>
          <w:numId w:val="5"/>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61"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4BAE8BDF"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The descriptive statistics show that depressed students demonstrated a higher median CGPA of 7.85 compared to 7.64 for non-depressed students. Therefore, the findings indicate that a difference exists, with depressed students in </w:t>
      </w:r>
      <w:r>
        <w:rPr>
          <w:rFonts w:ascii="Times New Roman" w:eastAsia="Times New Roman" w:hAnsi="Times New Roman" w:cs="Times New Roman"/>
        </w:rPr>
        <w:lastRenderedPageBreak/>
        <w:t>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D"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E" w14:textId="77777777" w:rsidR="00B06917" w:rsidRDefault="00000000">
      <w:pPr>
        <w:pStyle w:val="Heading3"/>
        <w:numPr>
          <w:ilvl w:val="0"/>
          <w:numId w:val="2"/>
        </w:numPr>
        <w:ind w:left="-90" w:firstLine="0"/>
        <w:rPr>
          <w:i/>
          <w:iCs/>
        </w:rPr>
      </w:pPr>
      <w:bookmarkStart w:id="26" w:name="_f0ojg7trgi49" w:colFirst="0" w:colLast="0"/>
      <w:bookmarkEnd w:id="26"/>
      <w:r>
        <w:t>Reference List</w:t>
      </w:r>
    </w:p>
    <w:p w14:paraId="0000007F" w14:textId="77777777" w:rsidR="00B06917" w:rsidRDefault="00000000">
      <w:pPr>
        <w:numPr>
          <w:ilvl w:val="0"/>
          <w:numId w:val="10"/>
        </w:numPr>
        <w:spacing w:before="80" w:after="240"/>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&amp; Khawaja, N.G.,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23, pp.108–117.</w:t>
      </w:r>
    </w:p>
    <w:p w14:paraId="00000080" w14:textId="77777777" w:rsidR="00B06917" w:rsidRDefault="00B06917">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lastRenderedPageBreak/>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7"/>
      <w:footerReference w:type="default" r:id="rId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EC2EC" w14:textId="77777777" w:rsidR="009A7BC5" w:rsidRDefault="009A7BC5">
      <w:r>
        <w:separator/>
      </w:r>
    </w:p>
  </w:endnote>
  <w:endnote w:type="continuationSeparator" w:id="0">
    <w:p w14:paraId="6EA1D41D" w14:textId="77777777" w:rsidR="009A7BC5" w:rsidRDefault="009A7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74F6D2FA-1BA5-4E80-9EB3-9AF21CEA7D35}"/>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AAAE1B34-E12E-4840-92E5-9715460982A8}"/>
    <w:embedBold r:id="rId3" w:fontKey="{2C98F35B-50EE-4711-9612-24D93C0E964C}"/>
    <w:embedItalic r:id="rId4" w:fontKey="{1D1BA84B-5AB6-4737-986A-6EECF39DB33E}"/>
  </w:font>
  <w:font w:name="Play">
    <w:charset w:val="00"/>
    <w:family w:val="auto"/>
    <w:pitch w:val="default"/>
    <w:embedRegular r:id="rId5" w:fontKey="{D72C3C55-B20D-4F37-B830-DDD88D57370F}"/>
    <w:embedBold r:id="rId6" w:fontKey="{C83281F9-551F-4EDF-898B-67B6504D2B94}"/>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E57636D3-AF7F-449D-8F6C-78A9EE29C4E7}"/>
  </w:font>
  <w:font w:name="Cambria">
    <w:panose1 w:val="02040503050406030204"/>
    <w:charset w:val="00"/>
    <w:family w:val="roman"/>
    <w:pitch w:val="variable"/>
    <w:sig w:usb0="E00006FF" w:usb1="420024FF" w:usb2="02000000" w:usb3="00000000" w:csb0="0000019F" w:csb1="00000000"/>
    <w:embedRegular r:id="rId8" w:fontKey="{C7D881FE-4238-471E-B154-B2BCC82DDFE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AAC4C" w14:textId="77777777" w:rsidR="009A7BC5" w:rsidRDefault="009A7BC5">
      <w:r>
        <w:separator/>
      </w:r>
    </w:p>
  </w:footnote>
  <w:footnote w:type="continuationSeparator" w:id="0">
    <w:p w14:paraId="6A6489D6" w14:textId="77777777" w:rsidR="009A7BC5" w:rsidRDefault="009A7BC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297238"/>
    <w:rsid w:val="002D225D"/>
    <w:rsid w:val="002F3D43"/>
    <w:rsid w:val="0030581D"/>
    <w:rsid w:val="003525C6"/>
    <w:rsid w:val="0043481A"/>
    <w:rsid w:val="0065206D"/>
    <w:rsid w:val="007D4D61"/>
    <w:rsid w:val="009A7BC5"/>
    <w:rsid w:val="009F3DC9"/>
    <w:rsid w:val="00A17761"/>
    <w:rsid w:val="00B06917"/>
    <w:rsid w:val="00C21BC5"/>
    <w:rsid w:val="00D3754A"/>
    <w:rsid w:val="00DA21D9"/>
    <w:rsid w:val="00DE14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TotalTime>
  <Pages>6</Pages>
  <Words>1485</Words>
  <Characters>8468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41</cp:revision>
  <dcterms:created xsi:type="dcterms:W3CDTF">2025-12-09T01:44:00Z</dcterms:created>
  <dcterms:modified xsi:type="dcterms:W3CDTF">2025-12-09T02:30:00Z</dcterms:modified>
</cp:coreProperties>
</file>