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539237389"/>
        <w:docPartObj>
          <w:docPartGallery w:val="Table of Contents"/>
          <w:docPartUnique w:val="1"/>
        </w:docPartObj>
      </w:sdtPr>
      <w:sdtContent>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pxu6qw0pk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x5ws5whvm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key variables used in this analysis are CGPA and Depression.</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oxnkt9ybh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there a difference in the median student academic score (Cumulative Grade Point Average (CGPA)) between depressed and non-depressed university students in India?”</w:t>
              <w:tab/>
              <w:t xml:space="preserve">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CGPA is considered the dependent variable (interval data type), and depression status is considered the independent variable (nominal data type).</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yqs4adzo1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huxn5in9e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4r73liw3k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wqgdgovzlk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n2vytokj5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7pcj0nu4dd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Assumptions made: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pzf6hl2hm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4jvh5uwkst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Analysis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6dheiqmcs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dayyhkpubof">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Evaluation – group’s experience at 7COM1079</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9tuwcnlzjx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 (75 words)</w:t>
              <w:tab/>
              <w:t xml:space="preserve">8</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project progressed effectively, as the team collaborated well from the beginning.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tab/>
              <w:t xml:space="preserve">8</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m2pe65yctk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 (75 words)</w:t>
              <w:tab/>
              <w:t xml:space="preserve">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supported more thorough peer review and improved overall workflow.</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ixazapq6c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 (50 words)</w:t>
              <w:tab/>
              <w:t xml:space="preserve">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l7u4mlkbj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c3rxp73cl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 (50 words)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0in86j6yl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complete GitHub commit history can be viewed in Appendix B, which shows that version control was used actively and collaboratively throughout the project. The history reflects a clear progression from project setup through analysis to final reporting.</w:t>
              <w:br w:type="textWrapping"/>
              <w:br w:type="textWrapping"/>
              <w:t xml:space="preserve">Commit Message: [Update filters to omit students with 0 GGPA] [Commit d909cc5]</w:t>
              <w:br w:type="textWrapping"/>
              <w:t xml:space="preserve">This was an important step in preparing the data that made sure our dataset was complete and accurate by removing incomplete information and outliers where CGPA = 0, which made sure that any future analysis would be based on clean data.</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Conclusions</w:t>
              <w:tab/>
              <w:t xml:space="preserve">10</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nduwwkwp6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tab/>
              <w:t xml:space="preserve">10</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a9ftog1yv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tab/>
              <w:t xml:space="preserve">10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o43hxzuqq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ywcy3ad3md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A">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B">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2"/>
        <w:ind w:left="-90" w:firstLine="0"/>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D">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E">
      <w:pPr>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F">
      <w:pPr>
        <w:pStyle w:val="Heading3"/>
        <w:numPr>
          <w:ilvl w:val="1"/>
          <w:numId w:val="1"/>
        </w:numPr>
        <w:ind w:left="-90" w:firstLine="0"/>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50">
      <w:pPr>
        <w:pStyle w:val="Heading3"/>
        <w:ind w:left="-90" w:firstLine="0"/>
        <w:jc w:val="both"/>
        <w:rPr/>
      </w:pPr>
      <w:r w:rsidDel="00000000" w:rsidR="00000000" w:rsidRPr="00000000">
        <w:rPr>
          <w:b w:val="0"/>
          <w:bCs w:val="0"/>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r w:rsidDel="00000000" w:rsidR="00000000" w:rsidRPr="00000000">
        <w:rPr>
          <w:rtl w:val="0"/>
        </w:rPr>
      </w:r>
    </w:p>
    <w:p w:rsidR="00000000" w:rsidDel="00000000" w:rsidP="00000000" w:rsidRDefault="00000000" w:rsidRPr="00000000" w14:paraId="00000051">
      <w:pPr>
        <w:pStyle w:val="Heading3"/>
        <w:ind w:left="-90" w:firstLine="0"/>
        <w:jc w:val="both"/>
        <w:rPr/>
      </w:pPr>
      <w:r w:rsidDel="00000000" w:rsidR="00000000" w:rsidRPr="00000000">
        <w:rPr>
          <w:b w:val="0"/>
          <w:bCs w:val="0"/>
          <w:rtl w:val="0"/>
        </w:rPr>
        <w:t xml:space="preserve">The key variables used in this analysis are CGPA and Depression.</w:t>
      </w:r>
      <w:r w:rsidDel="00000000" w:rsidR="00000000" w:rsidRPr="00000000">
        <w:rPr>
          <w:rtl w:val="0"/>
        </w:rPr>
      </w:r>
    </w:p>
    <w:p w:rsidR="00000000" w:rsidDel="00000000" w:rsidP="00000000" w:rsidRDefault="00000000" w:rsidRPr="00000000" w14:paraId="00000052">
      <w:pPr>
        <w:pStyle w:val="Heading3"/>
        <w:ind w:left="-90" w:firstLine="0"/>
        <w:rPr/>
      </w:pPr>
      <w:r w:rsidDel="00000000" w:rsidR="00000000" w:rsidRPr="00000000">
        <w:rPr>
          <w:rtl w:val="0"/>
        </w:rPr>
      </w:r>
    </w:p>
    <w:p w:rsidR="00000000" w:rsidDel="00000000" w:rsidP="00000000" w:rsidRDefault="00000000" w:rsidRPr="00000000" w14:paraId="00000053">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54">
      <w:pPr>
        <w:pStyle w:val="Heading3"/>
        <w:ind w:left="-90" w:firstLine="0"/>
        <w:jc w:val="both"/>
        <w:rPr>
          <w:b w:val="0"/>
          <w:bCs w:val="0"/>
        </w:rPr>
      </w:pPr>
      <w:r w:rsidDel="00000000" w:rsidR="00000000" w:rsidRPr="00000000">
        <w:rPr>
          <w:b w:val="0"/>
          <w:bCs w:val="0"/>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55">
      <w:pPr>
        <w:pStyle w:val="Heading3"/>
        <w:ind w:left="-90" w:firstLine="0"/>
        <w:jc w:val="both"/>
        <w:rPr>
          <w:b w:val="0"/>
          <w:bCs w:val="0"/>
        </w:rPr>
      </w:pPr>
      <w:r w:rsidDel="00000000" w:rsidR="00000000" w:rsidRPr="00000000">
        <w:rPr>
          <w:b w:val="0"/>
          <w:bCs w:val="0"/>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62">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6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65">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6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4">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75">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76">
      <w:pPr>
        <w:keepNext w:val="1"/>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2.png"/>
            <a:graphic>
              <a:graphicData uri="http://schemas.openxmlformats.org/drawingml/2006/picture">
                <pic:pic>
                  <pic:nvPicPr>
                    <pic:cNvPr descr="A graph of a comparison of students&#10;&#10;AI-generated content may be incorrect." id="0" name="image2.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1.png"/>
            <a:graphic>
              <a:graphicData uri="http://schemas.openxmlformats.org/drawingml/2006/picture">
                <pic:pic>
                  <pic:nvPicPr>
                    <pic:cNvPr descr="A graph of a graph with blue bars and red line&#10;&#10;AI-generated content may be incorrect." id="0" name="image1.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3.png"/>
            <a:graphic>
              <a:graphicData uri="http://schemas.openxmlformats.org/drawingml/2006/picture">
                <pic:pic>
                  <pic:nvPicPr>
                    <pic:cNvPr descr="A pie chart with a red circle and blue circle" id="0" name="image3.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80">
      <w:pPr>
        <w:pStyle w:val="Heading3"/>
        <w:ind w:left="-90" w:firstLine="0"/>
        <w:rPr>
          <w:b w:val="0"/>
          <w:bCs w:val="0"/>
        </w:rPr>
      </w:pPr>
      <w:r w:rsidDel="00000000" w:rsidR="00000000" w:rsidRPr="00000000">
        <w:rPr>
          <w:b w:val="0"/>
          <w:bCs w:val="0"/>
          <w:rtl w:val="0"/>
        </w:rPr>
        <w:t xml:space="preserve">Assumptions made:</w:t>
      </w:r>
    </w:p>
    <w:p w:rsidR="00000000" w:rsidDel="00000000" w:rsidP="00000000" w:rsidRDefault="00000000" w:rsidRPr="00000000" w14:paraId="00000081">
      <w:pPr>
        <w:pStyle w:val="Heading3"/>
        <w:ind w:left="-90" w:firstLine="0"/>
        <w:jc w:val="both"/>
        <w:rPr>
          <w:b w:val="0"/>
          <w:bCs w:val="0"/>
        </w:rPr>
      </w:pPr>
      <w:r w:rsidDel="00000000" w:rsidR="00000000" w:rsidRPr="00000000">
        <w:rPr>
          <w:b w:val="0"/>
          <w:bCs w:val="0"/>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3">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8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85">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0">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91">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92">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rsidR="00000000" w:rsidDel="00000000" w:rsidP="00000000" w:rsidRDefault="00000000" w:rsidRPr="00000000" w14:paraId="00000093">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4">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   </w:t>
      </w:r>
      <w:r w:rsidDel="00000000" w:rsidR="00000000" w:rsidRPr="00000000">
        <w:rPr>
          <w:rtl w:val="0"/>
        </w:rPr>
      </w:r>
    </w:p>
    <w:p w:rsidR="00000000" w:rsidDel="00000000" w:rsidP="00000000" w:rsidRDefault="00000000" w:rsidRPr="00000000" w14:paraId="00000095">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96">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3">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AC">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AD">
      <w:pPr>
        <w:pStyle w:val="Heading3"/>
        <w:spacing w:after="120" w:before="120" w:lineRule="auto"/>
        <w:ind w:left="-90" w:firstLine="0"/>
        <w:jc w:val="both"/>
        <w:rPr>
          <w:b w:val="0"/>
          <w:bCs w:val="0"/>
        </w:rPr>
      </w:pPr>
      <w:bookmarkStart w:colFirst="0" w:colLast="0" w:name="_x8tqdmkpw90i" w:id="17"/>
      <w:bookmarkEnd w:id="17"/>
      <w:r w:rsidDel="00000000" w:rsidR="00000000" w:rsidRPr="00000000">
        <w:rPr>
          <w:b w:val="0"/>
          <w:bCs w:val="0"/>
          <w:rtl w:val="0"/>
        </w:rPr>
        <w:t xml:space="preserve">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3"/>
        <w:numPr>
          <w:ilvl w:val="1"/>
          <w:numId w:val="1"/>
        </w:numPr>
        <w:ind w:left="-90" w:firstLine="0"/>
        <w:rPr/>
      </w:pPr>
      <w:bookmarkStart w:colFirst="0" w:colLast="0" w:name="_km2pe65yctkz" w:id="18"/>
      <w:bookmarkEnd w:id="18"/>
      <w:r w:rsidDel="00000000" w:rsidR="00000000" w:rsidRPr="00000000">
        <w:rPr>
          <w:rtl w:val="0"/>
        </w:rPr>
        <w:t xml:space="preserve">Points for improvement (75 words)</w:t>
      </w:r>
    </w:p>
    <w:p w:rsidR="00000000" w:rsidDel="00000000" w:rsidP="00000000" w:rsidRDefault="00000000" w:rsidRPr="00000000" w14:paraId="000000B0">
      <w:pPr>
        <w:spacing w:after="140" w:before="140" w:lineRule="auto"/>
        <w:ind w:left="-90" w:firstLine="0"/>
        <w:jc w:val="both"/>
        <w:rPr/>
      </w:pPr>
      <w:r w:rsidDel="00000000" w:rsidR="00000000" w:rsidRPr="00000000">
        <w:rPr>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numPr>
          <w:ilvl w:val="1"/>
          <w:numId w:val="1"/>
        </w:numPr>
        <w:ind w:left="-90" w:firstLine="0"/>
        <w:rPr/>
      </w:pPr>
      <w:bookmarkStart w:colFirst="0" w:colLast="0" w:name="_lhixazapq6c2" w:id="19"/>
      <w:bookmarkEnd w:id="19"/>
      <w:r w:rsidDel="00000000" w:rsidR="00000000" w:rsidRPr="00000000">
        <w:rPr>
          <w:rtl w:val="0"/>
        </w:rPr>
        <w:t xml:space="preserve">Group’s time management (50 words)</w:t>
      </w:r>
    </w:p>
    <w:p w:rsidR="00000000" w:rsidDel="00000000" w:rsidP="00000000" w:rsidRDefault="00000000" w:rsidRPr="00000000" w14:paraId="000000B3">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established a clear project timeline with defined weekly goals that structured progress in data cleaning, analysis, and report writing. Regular meetings maintained alignment across the team, prevented last-minute pressure, and kept each project phase on schedule.</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pStyle w:val="Heading3"/>
        <w:numPr>
          <w:ilvl w:val="1"/>
          <w:numId w:val="1"/>
        </w:numPr>
        <w:ind w:left="-90" w:firstLine="0"/>
        <w:rPr/>
      </w:pPr>
      <w:bookmarkStart w:colFirst="0" w:colLast="0" w:name="_pll7u4mlkbjf" w:id="20"/>
      <w:bookmarkEnd w:id="20"/>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B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numPr>
          <w:ilvl w:val="1"/>
          <w:numId w:val="1"/>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i w:val="1"/>
          <w:iCs w:val="1"/>
          <w:color w:val="000000"/>
          <w:rtl w:val="0"/>
        </w:rPr>
        <w:t xml:space="preserve">Note any changes to the group since the original allocation, if applicable. Add new or amended GitHub IDs for new members</w:t>
      </w:r>
      <w:r w:rsidDel="00000000" w:rsidR="00000000" w:rsidRPr="00000000">
        <w:rPr>
          <w:rFonts w:ascii="Times New Roman" w:cs="Times New Roman" w:eastAsia="Times New Roman" w:hAnsi="Times New Roman"/>
          <w:color w:val="000000"/>
          <w:rtl w:val="0"/>
        </w:rPr>
        <w:t xml:space="preserve"> </w:t>
      </w:r>
      <w:r w:rsidDel="00000000" w:rsidR="00000000" w:rsidRPr="00000000">
        <w:rPr>
          <w:rFonts w:ascii="Times New Roman" w:cs="Times New Roman" w:eastAsia="Times New Roman" w:hAnsi="Times New Roman"/>
          <w:b w:val="1"/>
          <w:bCs w:val="1"/>
          <w:color w:val="000000"/>
          <w:rtl w:val="0"/>
        </w:rPr>
        <w:t xml:space="preserve">(75 words, write only if it applies to your group arrangements)</w:t>
        <w:br w:type="textWrapping"/>
      </w:r>
      <w:r w:rsidDel="00000000" w:rsidR="00000000" w:rsidRPr="00000000">
        <w:rPr>
          <w:rFonts w:ascii="Times New Roman" w:cs="Times New Roman" w:eastAsia="Times New Roman" w:hAnsi="Times New Roman"/>
          <w:rtl w:val="0"/>
        </w:rPr>
        <w:t xml:space="preserve">No changes were made to the original group allocation</w:t>
      </w: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p w:rsidR="00000000" w:rsidDel="00000000" w:rsidP="00000000" w:rsidRDefault="00000000" w:rsidRPr="00000000" w14:paraId="000000BA">
      <w:pPr>
        <w:pStyle w:val="Heading3"/>
        <w:numPr>
          <w:ilvl w:val="1"/>
          <w:numId w:val="1"/>
        </w:numPr>
        <w:ind w:left="0" w:firstLine="0"/>
        <w:rPr/>
      </w:pPr>
      <w:bookmarkStart w:colFirst="0" w:colLast="0" w:name="_yrc3rxp73clk" w:id="21"/>
      <w:bookmarkEnd w:id="21"/>
      <w:r w:rsidDel="00000000" w:rsidR="00000000" w:rsidRPr="00000000">
        <w:rPr>
          <w:rtl w:val="0"/>
        </w:rPr>
        <w:t xml:space="preserve">Comment on the GitHub log output (50 words)</w:t>
      </w:r>
    </w:p>
    <w:p w:rsidR="00000000" w:rsidDel="00000000" w:rsidP="00000000" w:rsidRDefault="00000000" w:rsidRPr="00000000" w14:paraId="000000BB">
      <w:pPr>
        <w:pStyle w:val="Heading3"/>
        <w:spacing w:after="120" w:before="120" w:lineRule="auto"/>
        <w:ind w:left="0" w:firstLine="0"/>
        <w:jc w:val="both"/>
        <w:rPr/>
      </w:pPr>
      <w:bookmarkStart w:colFirst="0" w:colLast="0" w:name="_q06v70nuow5y" w:id="22"/>
      <w:bookmarkEnd w:id="22"/>
      <w:r w:rsidDel="00000000" w:rsidR="00000000" w:rsidRPr="00000000">
        <w:rPr>
          <w:b w:val="0"/>
          <w:bCs w:val="0"/>
          <w:rtl w:val="0"/>
        </w:rPr>
        <w:t xml:space="preserve">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r>
      <w:r w:rsidDel="00000000" w:rsidR="00000000" w:rsidRPr="00000000">
        <w:rPr>
          <w:b w:val="0"/>
          <w:bCs w:val="0"/>
          <w:rtl w:val="0"/>
        </w:rPr>
        <w:br w:type="textWrapping"/>
        <w:br w:type="textWrapping"/>
      </w:r>
      <w:r w:rsidDel="00000000" w:rsidR="00000000" w:rsidRPr="00000000">
        <w:rPr>
          <w:rtl w:val="0"/>
        </w:rPr>
        <w:t xml:space="preserve">Commit Message</w:t>
      </w:r>
      <w:r w:rsidDel="00000000" w:rsidR="00000000" w:rsidRPr="00000000">
        <w:rPr>
          <w:b w:val="0"/>
          <w:bCs w:val="0"/>
          <w:rtl w:val="0"/>
        </w:rPr>
        <w:t xml:space="preserve">: </w:t>
      </w:r>
      <w:r w:rsidDel="00000000" w:rsidR="00000000" w:rsidRPr="00000000">
        <w:rPr>
          <w:b w:val="0"/>
          <w:bCs w:val="0"/>
          <w:color w:val="1f2328"/>
          <w:highlight w:val="white"/>
          <w:rtl w:val="0"/>
        </w:rPr>
        <w:t xml:space="preserve">[</w:t>
      </w:r>
      <w:r w:rsidDel="00000000" w:rsidR="00000000" w:rsidRPr="00000000">
        <w:rPr>
          <w:b w:val="0"/>
          <w:bCs w:val="0"/>
          <w:rtl w:val="0"/>
        </w:rPr>
        <w:t xml:space="preserve">Update filters to omit students with 0 GGPA] [Commit d909cc5</w:t>
      </w:r>
      <w:r w:rsidDel="00000000" w:rsidR="00000000" w:rsidRPr="00000000">
        <w:rPr>
          <w:rtl w:val="0"/>
        </w:rPr>
        <w:t xml:space="preserve">]</w:t>
        <w:br w:type="textWrapping"/>
      </w:r>
      <w:r w:rsidDel="00000000" w:rsidR="00000000" w:rsidRPr="00000000">
        <w:rPr>
          <w:b w:val="0"/>
          <w:bCs w:val="0"/>
          <w:rtl w:val="0"/>
        </w:rPr>
        <w:t xml:space="preserve">This step was crucial in preparing the data, ensuring the dataset’s completeness and accuracy by removing incomplete records and outliers where the CGPA equaled zero. This process guaranteed that all subsequent analyses would be conducted on clean, reliable data.</w:t>
      </w:r>
      <w:r w:rsidDel="00000000" w:rsidR="00000000" w:rsidRPr="00000000">
        <w:rPr>
          <w:rtl w:val="0"/>
        </w:rPr>
      </w:r>
    </w:p>
    <w:p w:rsidR="00000000" w:rsidDel="00000000" w:rsidP="00000000" w:rsidRDefault="00000000" w:rsidRPr="00000000" w14:paraId="000000B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[Added boxplot for CGPA of depressed and non-depressed students] [Commit 551ab8a]</w:t>
      </w:r>
    </w:p>
    <w:p w:rsidR="00000000" w:rsidDel="00000000" w:rsidP="00000000" w:rsidRDefault="00000000" w:rsidRPr="00000000" w14:paraId="000000B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br w:type="textWrapping"/>
        <w:br w:type="textWrapping"/>
      </w:r>
      <w:r w:rsidDel="00000000" w:rsidR="00000000" w:rsidRPr="00000000">
        <w:rPr>
          <w:rFonts w:ascii="Times New Roman" w:cs="Times New Roman" w:eastAsia="Times New Roman" w:hAnsi="Times New Roman"/>
          <w:b w:val="1"/>
          <w:bCs w:val="1"/>
          <w:rtl w:val="0"/>
        </w:rPr>
        <w:t xml:space="preserve">Commit Message</w:t>
      </w:r>
      <w:r w:rsidDel="00000000" w:rsidR="00000000" w:rsidRPr="00000000">
        <w:rPr>
          <w:rFonts w:ascii="Times New Roman" w:cs="Times New Roman" w:eastAsia="Times New Roman" w:hAnsi="Times New Roman"/>
          <w:rtl w:val="0"/>
        </w:rPr>
        <w:t xml:space="preserve">: [Add Wilcoxon test back] [Commit 0a77a04]</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4">
      <w:pPr>
        <w:pStyle w:val="Heading3"/>
        <w:ind w:left="450" w:firstLine="0"/>
        <w:rPr>
          <w:b w:val="0"/>
          <w:bCs w:val="0"/>
        </w:rPr>
      </w:pPr>
      <w:r w:rsidDel="00000000" w:rsidR="00000000" w:rsidRPr="00000000">
        <w:rPr>
          <w:b w:val="0"/>
          <w:bCs w:val="0"/>
          <w:rtl w:val="0"/>
        </w:rPr>
        <w:br w:type="textWrapping"/>
        <w:br w:type="textWrapping"/>
      </w:r>
    </w:p>
    <w:p w:rsidR="00000000" w:rsidDel="00000000" w:rsidP="00000000" w:rsidRDefault="00000000" w:rsidRPr="00000000" w14:paraId="000000C5">
      <w:pPr>
        <w:pStyle w:val="Heading3"/>
        <w:ind w:left="450" w:firstLine="0"/>
        <w:rPr>
          <w:b w:val="0"/>
          <w:bCs w:val="0"/>
        </w:rPr>
      </w:pPr>
      <w:r w:rsidDel="00000000" w:rsidR="00000000" w:rsidRPr="00000000">
        <w:rPr>
          <w:rtl w:val="0"/>
        </w:rPr>
      </w:r>
    </w:p>
    <w:p w:rsidR="00000000" w:rsidDel="00000000" w:rsidP="00000000" w:rsidRDefault="00000000" w:rsidRPr="00000000" w14:paraId="000000C6">
      <w:pPr>
        <w:pStyle w:val="Heading3"/>
        <w:ind w:left="450" w:firstLine="0"/>
        <w:rPr>
          <w:b w:val="0"/>
          <w:bCs w:val="0"/>
        </w:rPr>
      </w:pPr>
      <w:r w:rsidDel="00000000" w:rsidR="00000000" w:rsidRPr="00000000">
        <w:rPr>
          <w:rtl w:val="0"/>
        </w:rPr>
      </w:r>
    </w:p>
    <w:p w:rsidR="00000000" w:rsidDel="00000000" w:rsidP="00000000" w:rsidRDefault="00000000" w:rsidRPr="00000000" w14:paraId="000000C7">
      <w:pPr>
        <w:pStyle w:val="Heading3"/>
        <w:ind w:left="450" w:firstLine="0"/>
        <w:rPr>
          <w:b w:val="0"/>
          <w:bCs w:val="0"/>
        </w:rPr>
      </w:pPr>
      <w:r w:rsidDel="00000000" w:rsidR="00000000" w:rsidRPr="00000000">
        <w:rPr>
          <w:rtl w:val="0"/>
        </w:rPr>
      </w:r>
    </w:p>
    <w:p w:rsidR="00000000" w:rsidDel="00000000" w:rsidP="00000000" w:rsidRDefault="00000000" w:rsidRPr="00000000" w14:paraId="000000C8">
      <w:pPr>
        <w:pStyle w:val="Heading3"/>
        <w:ind w:left="450" w:firstLine="0"/>
        <w:rPr>
          <w:b w:val="0"/>
          <w:bCs w:val="0"/>
        </w:rPr>
      </w:pPr>
      <w:r w:rsidDel="00000000" w:rsidR="00000000" w:rsidRPr="00000000">
        <w:rPr>
          <w:rtl w:val="0"/>
        </w:rPr>
      </w:r>
    </w:p>
    <w:p w:rsidR="00000000" w:rsidDel="00000000" w:rsidP="00000000" w:rsidRDefault="00000000" w:rsidRPr="00000000" w14:paraId="000000C9">
      <w:pPr>
        <w:pStyle w:val="Heading3"/>
        <w:ind w:left="450" w:firstLine="0"/>
        <w:rPr>
          <w:b w:val="0"/>
          <w:bCs w:val="0"/>
        </w:rPr>
      </w:pPr>
      <w:r w:rsidDel="00000000" w:rsidR="00000000" w:rsidRPr="00000000">
        <w:rPr>
          <w:rtl w:val="0"/>
        </w:rPr>
      </w:r>
    </w:p>
    <w:p w:rsidR="00000000" w:rsidDel="00000000" w:rsidP="00000000" w:rsidRDefault="00000000" w:rsidRPr="00000000" w14:paraId="000000CA">
      <w:pPr>
        <w:pStyle w:val="Heading3"/>
        <w:ind w:left="0" w:firstLine="0"/>
        <w:rPr>
          <w:b w:val="0"/>
          <w:bCs w:val="0"/>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D3">
      <w:pPr>
        <w:pStyle w:val="Heading3"/>
        <w:numPr>
          <w:ilvl w:val="1"/>
          <w:numId w:val="1"/>
        </w:numPr>
        <w:ind w:left="-90" w:firstLine="0"/>
        <w:rPr/>
      </w:pPr>
      <w:bookmarkStart w:colFirst="0" w:colLast="0" w:name="_23nduwwkwp64" w:id="23"/>
      <w:bookmarkEnd w:id="23"/>
      <w:r w:rsidDel="00000000" w:rsidR="00000000" w:rsidRPr="00000000">
        <w:rPr>
          <w:rtl w:val="0"/>
        </w:rPr>
        <w:t xml:space="preserve">Results explained (75 words)</w:t>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Heading3"/>
        <w:numPr>
          <w:ilvl w:val="1"/>
          <w:numId w:val="1"/>
        </w:numPr>
        <w:ind w:left="-90" w:firstLine="0"/>
        <w:rPr/>
      </w:pPr>
      <w:bookmarkStart w:colFirst="0" w:colLast="0" w:name="_jna9ftog1yvx" w:id="24"/>
      <w:bookmarkEnd w:id="24"/>
      <w:r w:rsidDel="00000000" w:rsidR="00000000" w:rsidRPr="00000000">
        <w:rPr>
          <w:rtl w:val="0"/>
        </w:rPr>
        <w:t xml:space="preserve">Interpretation of the results (75 words)</w:t>
      </w:r>
    </w:p>
    <w:p w:rsidR="00000000" w:rsidDel="00000000" w:rsidP="00000000" w:rsidRDefault="00000000" w:rsidRPr="00000000" w14:paraId="000000D7">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1"/>
          <w:numId w:val="1"/>
        </w:numPr>
        <w:ind w:left="-90" w:firstLine="0"/>
        <w:rPr/>
      </w:pPr>
      <w:bookmarkStart w:colFirst="0" w:colLast="0" w:name="_sjo43hxzuqqh" w:id="25"/>
      <w:bookmarkEnd w:id="25"/>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DA">
      <w:pPr>
        <w:pStyle w:val="Heading3"/>
        <w:ind w:left="-90" w:firstLine="0"/>
        <w:jc w:val="both"/>
        <w:rPr>
          <w:b w:val="0"/>
          <w:bCs w:val="0"/>
        </w:rPr>
      </w:pPr>
      <w:r w:rsidDel="00000000" w:rsidR="00000000" w:rsidRPr="00000000">
        <w:rPr>
          <w:b w:val="0"/>
          <w:bCs w:val="0"/>
          <w:rtl w:val="0"/>
        </w:rPr>
        <w:t xml:space="preserve">Our study is limited by the dataset’s binary depression variable, with no information on symptom severity or validated screening method. Future work should combine academic performance with measures such as DASS-21 or CES-D and coping assessments, as used by Deb et al. (2016) and Sawhney, Kunen and Gupta (2020), to clarify underlying mechanisms.</w:t>
      </w:r>
    </w:p>
    <w:p w:rsidR="00000000" w:rsidDel="00000000" w:rsidP="00000000" w:rsidRDefault="00000000" w:rsidRPr="00000000" w14:paraId="000000D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F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F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4">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F5">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F6">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B">
      <w:pPr>
        <w:pStyle w:val="Heading3"/>
        <w:numPr>
          <w:ilvl w:val="0"/>
          <w:numId w:val="1"/>
        </w:numPr>
        <w:ind w:left="-90" w:firstLine="0"/>
        <w:rPr/>
      </w:pPr>
      <w:bookmarkStart w:colFirst="0" w:colLast="0" w:name="_bywcy3ad3mdh" w:id="26"/>
      <w:bookmarkEnd w:id="26"/>
      <w:r w:rsidDel="00000000" w:rsidR="00000000" w:rsidRPr="00000000">
        <w:rPr>
          <w:rtl w:val="0"/>
        </w:rPr>
        <w:t xml:space="preserve">Appendices </w:t>
      </w:r>
    </w:p>
    <w:p w:rsidR="00000000" w:rsidDel="00000000" w:rsidP="00000000" w:rsidRDefault="00000000" w:rsidRPr="00000000" w14:paraId="0000010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10D">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6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6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6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7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7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7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7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7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7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7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7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7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7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8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8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8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8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8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8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8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8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8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8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8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8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8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9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9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9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9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9B">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F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F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F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F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F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F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F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F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F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F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F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20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20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20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20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20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20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20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20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20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20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0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20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20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21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21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21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21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21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21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21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21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21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21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21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21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21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22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22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4">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25">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450"/>
    </w:pPr>
    <w:rPr>
      <w:rFonts w:ascii="Times New Roman" w:cs="Times New Roman" w:eastAsia="Times New Roman" w:hAnsi="Times New Roman"/>
      <w:b w:val="1"/>
      <w:bCs w:val="1"/>
      <w:color w:val="0f4761"/>
      <w:sz w:val="30"/>
      <w:szCs w:val="30"/>
    </w:rPr>
  </w:style>
  <w:style w:type="paragraph" w:styleId="Heading3">
    <w:name w:val="heading 3"/>
    <w:basedOn w:val="Normal"/>
    <w:next w:val="Normal"/>
    <w:pPr>
      <w:keepNext w:val="1"/>
      <w:keepLines w:val="1"/>
      <w:spacing w:after="80" w:before="160" w:lineRule="auto"/>
      <w:ind w:left="720" w:hanging="27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