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Times New Roman" w:cs="Times New Roman" w:eastAsia="Times New Roman" w:hAnsi="Times New Roman"/>
          <w:b/>
          <w:bCs/>
          <w:caps/>
          <w:color w:val="555555"/>
          <w:sz w:val="20"/>
          <w:szCs w:val="20"/>
        </w:rPr>
        <w:t xml:space="preserve">HACKATHON INDABAX CAMEROON 2026</w:t>
      </w:r>
    </w:p>
    <w:p>
      <w:pPr>
        <w:pBdr>
          <w:bottom w:val="single" w:color="1B3A6B" w:sz="12" w:space="1"/>
        </w:pBdr>
        <w:spacing w:after="60" w:before="60"/>
      </w:pPr>
    </w:p>
    <w:p>
      <w:r>
        <w:t xml:space="preserve"/>
      </w:r>
    </w:p>
    <w:p>
      <w:pPr>
        <w:spacing w:after="120" w:before="200"/>
        <w:jc w:val="center"/>
      </w:pPr>
      <w:r>
        <w:rPr>
          <w:rFonts w:ascii="Times New Roman" w:cs="Times New Roman" w:eastAsia="Times New Roman" w:hAnsi="Times New Roman"/>
          <w:b/>
          <w:bCs/>
          <w:color w:val="1B3A6B"/>
          <w:sz w:val="52"/>
          <w:szCs w:val="52"/>
        </w:rPr>
        <w:t xml:space="preserve">Rapport Technique</w:t>
      </w:r>
    </w:p>
    <w:p>
      <w:pPr>
        <w:spacing w:after="80" w:before="80"/>
        <w:jc w:val="center"/>
      </w:pPr>
      <w:r>
        <w:rPr>
          <w:rFonts w:ascii="Times New Roman" w:cs="Times New Roman" w:eastAsia="Times New Roman" w:hAnsi="Times New Roman"/>
          <w:b/>
          <w:bCs/>
          <w:color w:val="2E6DA4"/>
          <w:sz w:val="36"/>
          <w:szCs w:val="36"/>
        </w:rPr>
        <w:t xml:space="preserve">Prédiction de la Qualité de l'Air au Cameroun</w:t>
      </w:r>
    </w:p>
    <w:p>
      <w:pPr>
        <w:spacing w:after="200" w:before="80"/>
        <w:jc w:val="center"/>
      </w:pPr>
      <w:r>
        <w:rPr>
          <w:rFonts w:ascii="Times New Roman" w:cs="Times New Roman" w:eastAsia="Times New Roman" w:hAnsi="Times New Roman"/>
          <w:i/>
          <w:iCs/>
          <w:color w:val="2E6DA4"/>
          <w:sz w:val="30"/>
          <w:szCs w:val="30"/>
        </w:rPr>
        <w:t xml:space="preserve">par Concentration en Particules Fines PM2.5</w:t>
      </w:r>
    </w:p>
    <w:p>
      <w:pPr>
        <w:pBdr>
          <w:bottom w:val="single" w:color="1A7F5E" w:sz="8" w:space="1"/>
        </w:pBdr>
        <w:spacing w:after="60" w:before="60"/>
      </w:pPr>
    </w:p>
    <w:p>
      <w:r>
        <w:t xml:space="preserve"/>
      </w:r>
    </w:p>
    <w:p>
      <w:pPr>
        <w:spacing w:after="80" w:before="120"/>
        <w:jc w:val="center"/>
      </w:pPr>
      <w:r>
        <w:rPr>
          <w:rFonts w:ascii="Times New Roman" w:cs="Times New Roman" w:eastAsia="Times New Roman" w:hAnsi="Times New Roman"/>
          <w:i/>
          <w:iCs/>
          <w:color w:val="1A7F5E"/>
          <w:sz w:val="24"/>
          <w:szCs w:val="24"/>
        </w:rPr>
        <w:t xml:space="preserve">« L'IA au service de la résilience climatique et sanitaire »</w:t>
      </w:r>
    </w:p>
    <w:p>
      <w:r>
        <w:t xml:space="preserve"/>
      </w:r>
    </w:p>
    <w:p>
      <w:r>
        <w:t xml:space="preserve"/>
      </w:r>
    </w:p>
    <w:p>
      <w:pPr>
        <w:spacing w:after="80" w:before="80"/>
        <w:jc w:val="center"/>
      </w:pPr>
      <w:r>
        <w:rPr>
          <w:rFonts w:ascii="Times New Roman" w:cs="Times New Roman" w:eastAsia="Times New Roman" w:hAnsi="Times New Roman"/>
          <w:b/>
          <w:bCs/>
          <w:color w:val="1B3A6B"/>
          <w:sz w:val="24"/>
          <w:szCs w:val="24"/>
        </w:rPr>
        <w:t xml:space="preserve">Algorithmes évalués :</w:t>
      </w:r>
    </w:p>
    <w:p>
      <w:pPr>
        <w:spacing w:after="200" w:before="60"/>
        <w:jc w:val="center"/>
      </w:pPr>
      <w:r>
        <w:rPr>
          <w:rFonts w:ascii="Times New Roman" w:cs="Times New Roman" w:eastAsia="Times New Roman" w:hAnsi="Times New Roman"/>
          <w:b/>
          <w:bCs/>
          <w:color w:val="C9860B"/>
          <w:sz w:val="26"/>
          <w:szCs w:val="26"/>
        </w:rPr>
        <w:t xml:space="preserve">Random Forest  |  XGBoost  |  LightGBM</w:t>
      </w:r>
    </w:p>
    <w:p>
      <w:pPr>
        <w:pBdr>
          <w:bottom w:val="single" w:color="CCCCCC" w:sz="4" w:space="1"/>
        </w:pBdr>
        <w:spacing w:after="60" w:before="60"/>
      </w:pP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Times New Roman" w:cs="Times New Roman" w:eastAsia="Times New Roman" w:hAnsi="Times New Roman"/>
                <w:b/>
                <w:bCs/>
                <w:color w:val="1B3A6B"/>
                <w:sz w:val="32"/>
                <w:szCs w:val="32"/>
              </w:rPr>
              <w:t xml:space="preserve">87 240</w:t>
            </w:r>
          </w:p>
          <w:p>
            <w:pPr>
              <w:jc w:val="center"/>
            </w:pPr>
            <w:r>
              <w:rPr>
                <w:rFonts w:ascii="Times New Roman" w:cs="Times New Roman" w:eastAsia="Times New Roman" w:hAnsi="Times New Roman"/>
                <w:color w:val="555555"/>
                <w:sz w:val="18"/>
                <w:szCs w:val="18"/>
              </w:rPr>
              <w:t xml:space="preserve">Observations</w:t>
            </w:r>
          </w:p>
        </w:tc>
        <w:tc>
          <w:tcPr>
            <w:tcW w:type="dxa" w:w="3008"/>
            <w:tcBorders>
              <w:top w:val="single" w:color="CCCCCC" w:sz="1"/>
              <w:left w:val="single" w:color="CCCCCC" w:sz="1"/>
              <w:bottom w:val="single" w:color="CCCCCC" w:sz="1"/>
              <w:right w:val="single" w:color="CCCCCC" w:sz="1"/>
            </w:tcBorders>
            <w:shd w:fill="D5EFE5" w:val="clear"/>
            <w:tcMar>
              <w:top w:type="dxa" w:w="120"/>
              <w:left w:type="dxa" w:w="160"/>
              <w:bottom w:type="dxa" w:w="120"/>
              <w:right w:type="dxa" w:w="160"/>
            </w:tcMar>
          </w:tcPr>
          <w:p>
            <w:pPr>
              <w:jc w:val="center"/>
            </w:pPr>
            <w:r>
              <w:rPr>
                <w:rFonts w:ascii="Times New Roman" w:cs="Times New Roman" w:eastAsia="Times New Roman" w:hAnsi="Times New Roman"/>
                <w:b/>
                <w:bCs/>
                <w:color w:val="1A7F5E"/>
                <w:sz w:val="32"/>
                <w:szCs w:val="32"/>
              </w:rPr>
              <w:t xml:space="preserve">42 Villes</w:t>
            </w:r>
          </w:p>
          <w:p>
            <w:pPr>
              <w:jc w:val="center"/>
            </w:pPr>
            <w:r>
              <w:rPr>
                <w:rFonts w:ascii="Times New Roman" w:cs="Times New Roman" w:eastAsia="Times New Roman" w:hAnsi="Times New Roman"/>
                <w:color w:val="555555"/>
                <w:sz w:val="18"/>
                <w:szCs w:val="18"/>
              </w:rPr>
              <w:t xml:space="preserve">10 Régions du Cameroun</w:t>
            </w:r>
          </w:p>
        </w:tc>
        <w:tc>
          <w:tcPr>
            <w:tcW w:type="dxa" w:w="3008"/>
            <w:tcBorders>
              <w:top w:val="single" w:color="CCCCCC" w:sz="1"/>
              <w:left w:val="single" w:color="CCCCCC" w:sz="1"/>
              <w:bottom w:val="single" w:color="CCCCCC" w:sz="1"/>
              <w:right w:val="single" w:color="CCCCCC" w:sz="1"/>
            </w:tcBorders>
            <w:shd w:fill="FEF3D0" w:val="clear"/>
            <w:tcMar>
              <w:top w:type="dxa" w:w="120"/>
              <w:left w:type="dxa" w:w="160"/>
              <w:bottom w:type="dxa" w:w="120"/>
              <w:right w:type="dxa" w:w="160"/>
            </w:tcMar>
          </w:tcPr>
          <w:p>
            <w:pPr>
              <w:jc w:val="center"/>
            </w:pPr>
            <w:r>
              <w:rPr>
                <w:rFonts w:ascii="Times New Roman" w:cs="Times New Roman" w:eastAsia="Times New Roman" w:hAnsi="Times New Roman"/>
                <w:b/>
                <w:bCs/>
                <w:color w:val="C9860B"/>
                <w:sz w:val="32"/>
                <w:szCs w:val="32"/>
              </w:rPr>
              <w:t xml:space="preserve">2020 – 2025</w:t>
            </w:r>
          </w:p>
          <w:p>
            <w:pPr>
              <w:jc w:val="center"/>
            </w:pPr>
            <w:r>
              <w:rPr>
                <w:rFonts w:ascii="Times New Roman" w:cs="Times New Roman" w:eastAsia="Times New Roman" w:hAnsi="Times New Roman"/>
                <w:color w:val="555555"/>
                <w:sz w:val="18"/>
                <w:szCs w:val="18"/>
              </w:rPr>
              <w:t xml:space="preserve">Période couverte</w:t>
            </w:r>
          </w:p>
        </w:tc>
      </w:tr>
    </w:tbl>
    <w:p>
      <w:r>
        <w:t xml:space="preserve"/>
      </w:r>
    </w:p>
    <w:p>
      <w:r>
        <w:t xml:space="preserve"/>
      </w:r>
    </w:p>
    <w:p>
      <w:r>
        <w:t xml:space="preserve"/>
      </w:r>
    </w:p>
    <w:p>
      <w:pPr>
        <w:pBdr>
          <w:bottom w:val="single" w:color="1B3A6B" w:sz="6" w:space="1"/>
        </w:pBdr>
        <w:spacing w:after="60" w:before="60"/>
      </w:pPr>
    </w:p>
    <w:p>
      <w:r>
        <w:t xml:space="preserve"/>
      </w:r>
    </w:p>
    <w:p>
      <w:pPr>
        <w:spacing w:after="40" w:before="60"/>
        <w:jc w:val="center"/>
      </w:pPr>
      <w:r>
        <w:rPr>
          <w:rFonts w:ascii="Times New Roman" w:cs="Times New Roman" w:eastAsia="Times New Roman" w:hAnsi="Times New Roman"/>
          <w:b/>
          <w:bCs/>
          <w:color w:val="1B3A6B"/>
          <w:sz w:val="22"/>
          <w:szCs w:val="22"/>
        </w:rPr>
        <w:t xml:space="preserve">Équipe Participante · Hackathon IndabaX Cameroon 2026</w:t>
      </w:r>
    </w:p>
    <w:p>
      <w:pPr>
        <w:spacing w:after="40" w:before="40"/>
        <w:jc w:val="center"/>
      </w:pPr>
      <w:r>
        <w:rPr>
          <w:rFonts w:ascii="Times New Roman" w:cs="Times New Roman" w:eastAsia="Times New Roman" w:hAnsi="Times New Roman"/>
          <w:i/>
          <w:iCs/>
          <w:color w:val="2E6DA4"/>
          <w:sz w:val="19"/>
          <w:szCs w:val="19"/>
        </w:rPr>
        <w:t xml:space="preserve">Dépôt GitHub : github.com/irchhjc/HACKATHON-INDABAX-CAMEROON-2026</w:t>
      </w:r>
    </w:p>
    <w:p>
      <w:pPr>
        <w:spacing w:after="40" w:before="40"/>
        <w:jc w:val="center"/>
      </w:pPr>
      <w:r>
        <w:rPr>
          <w:rFonts w:ascii="Times New Roman" w:cs="Times New Roman" w:eastAsia="Times New Roman" w:hAnsi="Times New Roman"/>
          <w:color w:val="555555"/>
          <w:sz w:val="20"/>
          <w:szCs w:val="20"/>
        </w:rPr>
        <w:t xml:space="preserve">Yaoundé, Cameroun · Avril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Résumé Exécutif</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présent rapport rend compte des travaux menés dans le cadre du Hackathon IndabaX Cameroon 2026, organisé sous le thème « L'IA au service de la résilience climatique et sanitaire ». L'objectif central du projet était de développer un système de prédiction de la qualité de l'air en milieu urbain camerounais, en estimant la concentration en particules fines PM2.5 à partir de données météorologiques historiques.</w:t>
      </w:r>
    </w:p>
    <w:p>
      <w:r>
        <w:t xml:space="preserve"/>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pollution atmosphérique constitue l'un des défis sanitaires majeurs du continent africain. Au Cameroun, pays à la géographie contrastée — forêts équatoriales, savanes, zones côtières et massifs montagneux —, les données de qualité de l'air demeurent rares et difficiles à collecter. L'approche retenue dans ce projet, fondée sur des proxies météorologiques et des algorithmes d'apprentissage automatique, ouvre une voie prometteuse pour pallier ce déficit de données.</w:t>
      </w:r>
    </w:p>
    <w:p>
      <w:r>
        <w:t xml:space="preserve"/>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Trois algorithmes d'ensemble ont été développés, entraînés et rigoureusement comparés sur un jeu de données couvrant 42 villes, 10 régions et six années d'observations (2020–2025), soit 87 240 enregistrements journaliers. L'approche méthodologique a intégré l'ingénierie de variables, la gestion des séries temporelles, l'encodage des variables géographiques et l'évaluation multi-métriques.</w:t>
      </w:r>
    </w:p>
    <w:p>
      <w:r>
        <w:t xml:space="preserve"/>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Les résultats démontrent des performances exceptionnelles pour les trois modèles, avec des coefficients de détermination supérieurs à 0,997. LightGBM s'impose comme le modèle champion en remportant simultanément les deux métriques clés : un R² de 0,9990 et une erreur absolue moyenne (MAE) de 0,0595 unité PM2.5. Une application web interactive construite avec Streamlit permet de visualiser les prédictions en temps réel pour chacune des 42 villes, offrant un outil concret d'aide à la décision en santé publique.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5"/>
        <w:gridCol w:w="1625"/>
        <w:gridCol w:w="1625"/>
        <w:gridCol w:w="1625"/>
      </w:tblGrid>
      <w:tr>
        <w:tc>
          <w:tcPr>
            <w:tcW w:type="dxa" w:w="252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Modèle</w:t>
            </w:r>
          </w:p>
        </w:tc>
        <w:tc>
          <w:tcPr>
            <w:tcW w:type="dxa" w:w="162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162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62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Rang R²</w:t>
            </w:r>
          </w:p>
        </w:tc>
        <w:tc>
          <w:tcPr>
            <w:tcW w:type="dxa" w:w="162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Rang MAE</w:t>
            </w:r>
          </w:p>
        </w:tc>
      </w:tr>
      <w:tr>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LightGBM ★</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0,9990</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0,0595</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#1</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#1</w:t>
            </w:r>
          </w:p>
        </w:tc>
      </w:tr>
      <w:tr>
        <w:tc>
          <w:tcPr>
            <w:tcW w:type="dxa" w:w="252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62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0,9984</w:t>
            </w:r>
          </w:p>
        </w:tc>
        <w:tc>
          <w:tcPr>
            <w:tcW w:type="dxa" w:w="162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0,0812</w:t>
            </w:r>
          </w:p>
        </w:tc>
        <w:tc>
          <w:tcPr>
            <w:tcW w:type="dxa" w:w="162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162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r>
      <w:tr>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XGBoost</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0,9974</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0,0711</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162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r>
    </w:tbl>
    <w:p>
      <w:pPr>
        <w:spacing w:after="160" w:before="60"/>
        <w:jc w:val="center"/>
      </w:pPr>
      <w:r>
        <w:rPr>
          <w:rFonts w:ascii="Times New Roman" w:cs="Times New Roman" w:eastAsia="Times New Roman" w:hAnsi="Times New Roman"/>
          <w:i/>
          <w:iCs/>
          <w:color w:val="555555"/>
          <w:sz w:val="19"/>
          <w:szCs w:val="19"/>
        </w:rPr>
        <w:t xml:space="preserve">Tableau 1 — Synthèse des performances des trois modèles évalués</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Table des Matières</w:t>
      </w:r>
    </w:p>
    <w:sdt>
      <w:sdtPr>
        <w:alias w:val="Table des Matière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Liste des Tableaux et Figures</w:t>
      </w:r>
    </w:p>
    <w:p>
      <w:pPr>
        <w:pStyle w:val="Heading2"/>
        <w:spacing w:after="100" w:before="280"/>
      </w:pPr>
      <w:r>
        <w:rPr>
          <w:rFonts w:ascii="Times New Roman" w:cs="Times New Roman" w:eastAsia="Times New Roman" w:hAnsi="Times New Roman"/>
          <w:b/>
          <w:bCs/>
          <w:color w:val="2E6DA4"/>
          <w:sz w:val="26"/>
          <w:szCs w:val="26"/>
        </w:rPr>
        <w:t xml:space="preserve">Liste des Tableaux</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1 — Synthèse des performances des trois modèles évalués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2 — Structure et taille du jeu de données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3 — Variables d'entrée du modèle (features)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4 — Paramètres de configuration : Random Forest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5 — Paramètres de configuration : XGBoost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6 — Paramètres de configuration : LightGBM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7 — Comparaison détaillée des trois algorithmes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8 — Analyse comparative par métrique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9 — Gains de performance entre modèles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10 — Critères de sélection du modèle final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Tableau 11 — Seuils OMS de qualité de l'air (PM2.5) .........................</w:t>
      </w:r>
    </w:p>
    <w:p>
      <w:r>
        <w:t xml:space="preserve"/>
      </w:r>
    </w:p>
    <w:p>
      <w:pPr>
        <w:pStyle w:val="Heading2"/>
        <w:spacing w:after="100" w:before="280"/>
      </w:pPr>
      <w:r>
        <w:rPr>
          <w:rFonts w:ascii="Times New Roman" w:cs="Times New Roman" w:eastAsia="Times New Roman" w:hAnsi="Times New Roman"/>
          <w:b/>
          <w:bCs/>
          <w:color w:val="2E6DA4"/>
          <w:sz w:val="26"/>
          <w:szCs w:val="26"/>
        </w:rPr>
        <w:t xml:space="preserve">Liste des Figures</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1 — Architecture générale du pipeline de traitement de données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2 — Répartition géographique des 42 villes camerounaises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3 — Distribution temporelle des données (2020–2025)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4 — Principe du Bagging (Random Forest)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5 — Principe du Gradient Boosting séquentiel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6 — Comparaison croissance level-wise vs leaf-wise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7 — Capture d'écran — Interface principale du dashboard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8 — Capture d'écran — Module de simulation climatique .............</w:t>
      </w:r>
    </w:p>
    <w:p>
      <w:pPr>
        <w:spacing w:after="60" w:before="100" w:line="276"/>
        <w:jc w:val="both"/>
      </w:pPr>
      <w:r>
        <w:rPr>
          <w:rFonts w:ascii="Times New Roman" w:cs="Times New Roman" w:eastAsia="Times New Roman" w:hAnsi="Times New Roman"/>
          <w:b w:val="false"/>
          <w:bCs w:val="false"/>
          <w:i w:val="false"/>
          <w:iCs w:val="false"/>
          <w:color w:val="000000"/>
          <w:sz w:val="22"/>
          <w:szCs w:val="22"/>
        </w:rPr>
        <w:t xml:space="preserve">Figure 9 — Capture d'écran — Carte interactive des villes .................</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1. Contexte et Problématique</w:t>
      </w:r>
    </w:p>
    <w:p>
      <w:pPr>
        <w:pStyle w:val="Heading2"/>
        <w:spacing w:after="100" w:before="280"/>
      </w:pPr>
      <w:r>
        <w:rPr>
          <w:rFonts w:ascii="Times New Roman" w:cs="Times New Roman" w:eastAsia="Times New Roman" w:hAnsi="Times New Roman"/>
          <w:b/>
          <w:bCs/>
          <w:color w:val="2E6DA4"/>
          <w:sz w:val="26"/>
          <w:szCs w:val="26"/>
        </w:rPr>
        <w:t xml:space="preserve">1.1 Le Hackathon IndabaX Cameroon 2026</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Hackathon IndabaX Cameroon 2026 s'inscrit dans la dynamique portée par Deep Learning Indaba, mouvement panafricain visant à renforcer les capacités en intelligence artificielle à travers le continent. L'édition camerounaise de 2026 a placé au centre de ses enjeux la double problématique de la résilience climatique et sanitaire, avec pour mission de mobiliser les outils de l'IA au service de défis concrets ayant un impact direct sur les populations.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Les participants ont été invités à concevoir des solutions fondées sur des données réelles, en adoptant une démarche rigoureuse alliant exploration des données, modélisation statistique et déploiement applicatif. Le présent projet a choisi de s'attaquer à la question de la qualité de l'air, en développant un système de prédiction du niveau de particules fines PM2.5 à partir de variables météorologiques mesurées dans 42 villes du Cameroun.</w:t>
      </w:r>
    </w:p>
    <w:p>
      <w:pPr>
        <w:pStyle w:val="Heading2"/>
        <w:spacing w:after="100" w:before="280"/>
      </w:pPr>
      <w:r>
        <w:rPr>
          <w:rFonts w:ascii="Times New Roman" w:cs="Times New Roman" w:eastAsia="Times New Roman" w:hAnsi="Times New Roman"/>
          <w:b/>
          <w:bCs/>
          <w:color w:val="2E6DA4"/>
          <w:sz w:val="26"/>
          <w:szCs w:val="26"/>
        </w:rPr>
        <w:t xml:space="preserve">1.2 Enjeux de la Qualité de l'Air en Afrique Subsaharienne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pollution atmosphérique constitue la quatrième cause mondiale de mortalité prématurée, selon l'Organisation Mondiale de la Santé (OMS). En Afrique subsaharienne, ce phénomène est aggravé par la combinaison de plusieurs facteurs structurels : urbanisation rapide des grandes métropoles, développement industriel non régulé, pratiques agricoles incluant des feux de brousse saisonniers, et précarité des réseaux de transport.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Au Cameroun, les principales agglomérations — Yaoundé, Douala, Bafoussam, Garoua, Maroua — concentrent des niveaux de pollution croissants. La saison sèche, marquée par les alizés et l'harmattan en zone septentrionale, est particulièrement critique : les particules fines s'accumulent faute de précipitations pour les lessiver, tandis que les activités agricoles et pastorales génèrent des émissions supplémentaires.</w:t>
      </w:r>
    </w:p>
    <w:p>
      <w:pPr>
        <w:pStyle w:val="Heading2"/>
        <w:spacing w:after="100" w:before="280"/>
      </w:pPr>
      <w:r>
        <w:rPr>
          <w:rFonts w:ascii="Times New Roman" w:cs="Times New Roman" w:eastAsia="Times New Roman" w:hAnsi="Times New Roman"/>
          <w:b/>
          <w:bCs/>
          <w:color w:val="2E6DA4"/>
          <w:sz w:val="26"/>
          <w:szCs w:val="26"/>
        </w:rPr>
        <w:t xml:space="preserve">1.3 Limites des Approches Traditionnelles de Surveillance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surveillance conventionnelle de la qualité de l'air repose sur des stations de mesure physiques coûteuses, nécessitant une maintenance régulière et une infrastructure technique que la plupart des collectivités camerounaises ne peuvent pas se permettre. À titre indicatif, une station de mesure homologuée PM2.5 représente un investissement de l'ordre de plusieurs dizaines de milliers d'euros, sans compter les coûts opérationnels annuels.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Face à ce vide instrumental, une approche complémentaire consiste à estimer les niveaux de pollution à partir de variables météorologiques accessibles : température, vent, précipitations, rayonnement solaire. Ces données sont collectées par des réseaux agro-météorologiques existants et disponibles gratuitement via l'API Open-Meteo. L'enjeu scientifique est alors de construire un modèle statistique capable de traduire ces signaux météorologiques en estimation de concentration PM2.5.</w:t>
      </w:r>
    </w:p>
    <w:p>
      <w:pPr>
        <w:pStyle w:val="Heading2"/>
        <w:spacing w:after="100" w:before="280"/>
      </w:pPr>
      <w:r>
        <w:rPr>
          <w:rFonts w:ascii="Times New Roman" w:cs="Times New Roman" w:eastAsia="Times New Roman" w:hAnsi="Times New Roman"/>
          <w:b/>
          <w:bCs/>
          <w:color w:val="2E6DA4"/>
          <w:sz w:val="26"/>
          <w:szCs w:val="26"/>
        </w:rPr>
        <w:t xml:space="preserve">1.4 Objectifs du Projet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projet poursuit quatre objectifs complémentaires et hiérarchisés :</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Construire un proxy PM2.5 fiable à partir des données météorologiques disponibles, en intégrant la connaissance des mécanismes physiques liant conditions atmosphériques et pollution particulaire.</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Comparer rigoureusement trois algorithmes de Machine Learning supervisé (Random Forest, XGBoost, LightGBM) selon des métriques d'évaluation pertinentes pour un usage en santé publique.</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Sélectionner et justifier le modèle final sur la base d'une analyse multicritère prenant en compte la précision, la robustesse et l'adéquation aux données camerounaises.</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Déployer une application web interactive permettant aux acteurs de santé publique et aux décideurs d'interroger le modèle en temps réel pour n'importe quelle ville du jeu de données.</w:t>
      </w:r>
    </w:p>
    <w:p>
      <w:r>
        <w:t xml:space="preserve"/>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2. Données et Méthodologie</w:t>
      </w:r>
    </w:p>
    <w:p>
      <w:pPr>
        <w:pStyle w:val="Heading2"/>
        <w:spacing w:after="100" w:before="280"/>
      </w:pPr>
      <w:r>
        <w:rPr>
          <w:rFonts w:ascii="Times New Roman" w:cs="Times New Roman" w:eastAsia="Times New Roman" w:hAnsi="Times New Roman"/>
          <w:b/>
          <w:bCs/>
          <w:color w:val="2E6DA4"/>
          <w:sz w:val="26"/>
          <w:szCs w:val="26"/>
        </w:rPr>
        <w:t xml:space="preserve">2.1 Source et Description du Jeu de Données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Les données utilisées dans ce projet sont issues de l'API Open-Meteo, service météorologique open source offrant des données historiques journalières pour tout point géographique mondial. L'extraction a été réalisée pour 42 villes camerounaises réparties sur les 10 régions administratives du pays, couvrant la période du 1er janvier 2020 au 31 décembre 2025.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Caractéristique</w:t>
            </w:r>
          </w:p>
        </w:tc>
        <w:tc>
          <w:tcPr>
            <w:tcW w:type="dxa" w:w="559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Valeur</w:t>
            </w:r>
          </w:p>
        </w:tc>
      </w:tr>
      <w:tr>
        <w:tc>
          <w:tcPr>
            <w:tcW w:type="dxa" w:w="343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Nombre d'observations</w:t>
            </w:r>
          </w:p>
        </w:tc>
        <w:tc>
          <w:tcPr>
            <w:tcW w:type="dxa" w:w="559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87 240 enregistrements journaliers</w:t>
            </w:r>
          </w:p>
        </w:tc>
      </w:tr>
      <w:tr>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Nombre de villes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42 villes camerounaises</w:t>
            </w:r>
          </w:p>
        </w:tc>
      </w:tr>
      <w:tr>
        <w:tc>
          <w:tcPr>
            <w:tcW w:type="dxa" w:w="343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Nombre de régions</w:t>
            </w:r>
          </w:p>
        </w:tc>
        <w:tc>
          <w:tcPr>
            <w:tcW w:type="dxa" w:w="559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 régions administratives</w:t>
            </w:r>
          </w:p>
        </w:tc>
      </w:tr>
      <w:tr>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Période temporelle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Janvier 2020 – Décembre 2025 (6 ans)</w:t>
            </w:r>
          </w:p>
        </w:tc>
      </w:tr>
      <w:tr>
        <w:tc>
          <w:tcPr>
            <w:tcW w:type="dxa" w:w="343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Fréquence d'échantillonnage</w:t>
            </w:r>
          </w:p>
        </w:tc>
        <w:tc>
          <w:tcPr>
            <w:tcW w:type="dxa" w:w="559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Quotidienne (1 observation / ville / jour)</w:t>
            </w:r>
          </w:p>
        </w:tc>
      </w:tr>
      <w:tr>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Nombre de variables brutes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 variables météorologiques + localisation</w:t>
            </w:r>
          </w:p>
        </w:tc>
      </w:tr>
      <w:tr>
        <w:tc>
          <w:tcPr>
            <w:tcW w:type="dxa" w:w="343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Nombre de features finales</w:t>
            </w:r>
          </w:p>
        </w:tc>
        <w:tc>
          <w:tcPr>
            <w:tcW w:type="dxa" w:w="559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24 features après ingénierie</w:t>
            </w:r>
          </w:p>
        </w:tc>
      </w:tr>
      <w:tr>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Variable cible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pm25_proxy (proxy PM2.5 calculé)</w:t>
            </w:r>
          </w:p>
        </w:tc>
      </w:tr>
      <w:tr>
        <w:tc>
          <w:tcPr>
            <w:tcW w:type="dxa" w:w="3430"/>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Source principale</w:t>
            </w:r>
          </w:p>
        </w:tc>
        <w:tc>
          <w:tcPr>
            <w:tcW w:type="dxa" w:w="559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API Open-Meteo (open source)</w:t>
            </w:r>
          </w:p>
        </w:tc>
      </w:tr>
      <w:tr>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Format de stockage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CSV, 87 240 × 26 colonnes</w:t>
            </w:r>
          </w:p>
        </w:tc>
      </w:tr>
    </w:tbl>
    <w:p>
      <w:pPr>
        <w:spacing w:after="160" w:before="60"/>
        <w:jc w:val="center"/>
      </w:pPr>
      <w:r>
        <w:rPr>
          <w:rFonts w:ascii="Times New Roman" w:cs="Times New Roman" w:eastAsia="Times New Roman" w:hAnsi="Times New Roman"/>
          <w:i/>
          <w:iCs/>
          <w:color w:val="555555"/>
          <w:sz w:val="19"/>
          <w:szCs w:val="19"/>
        </w:rPr>
        <w:t xml:space="preserve">Tableau 2 — Structure et taille du jeu de données</w:t>
      </w:r>
    </w:p>
    <w:p>
      <w:pPr>
        <w:pStyle w:val="Heading2"/>
        <w:spacing w:after="100" w:before="280"/>
      </w:pPr>
      <w:r>
        <w:rPr>
          <w:rFonts w:ascii="Times New Roman" w:cs="Times New Roman" w:eastAsia="Times New Roman" w:hAnsi="Times New Roman"/>
          <w:b/>
          <w:bCs/>
          <w:color w:val="2E6DA4"/>
          <w:sz w:val="26"/>
          <w:szCs w:val="26"/>
        </w:rPr>
        <w:t xml:space="preserve">2.2 Construction du Proxy PM2.5</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En l'absence de mesures directes de PM2.5 pour la majorité des villes camerounaises, un proxy a été construit à partir des relations physiques connues entre les conditions météorologiques et la concentration en particules fines. Cette approche est validée dans la littérature scientifique sur la télédétection de la pollution atmosphérique.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formule du proxy intègre plusieurs termes additifs et multiplicatifs : une composante de base inversement proportionnelle aux précipitations et à la vitesse du vent (qui lessivent et dispersent les particules), une composante saisonnière amplifiée en saison sèche (novembre à mars), une composante thermique liée aux inversions de température, et une composante régionale différenciant les villes du nord (Sahel, zone aride) des villes du centre et du sud (zone équatoriale, humide). Des termes de bruit stochastique ont été ajoutés pour reproduire la variabilité naturelle des mesures réelles.</w:t>
      </w:r>
    </w:p>
    <w:p>
      <w:pPr>
        <w:pBdr>
          <w:left w:val="single" w:color="C9860B" w:sz="18" w:space="8"/>
        </w:pBdr>
        <w:shd w:fill="FEF3D0" w:val="clear"/>
        <w:spacing w:after="40" w:before="120"/>
        <w:ind w:left="200"/>
        <w:jc w:val="left"/>
      </w:pPr>
      <w:r>
        <w:rPr>
          <w:rFonts w:ascii="Times New Roman" w:cs="Times New Roman" w:eastAsia="Times New Roman" w:hAnsi="Times New Roman"/>
          <w:b/>
          <w:bCs/>
          <w:color w:val="C9860B"/>
          <w:sz w:val="22"/>
          <w:szCs w:val="22"/>
        </w:rPr>
        <w:t xml:space="preserve">Formulation mathématique du proxy PM2.5</w:t>
      </w:r>
    </w:p>
    <w:p>
      <w:pPr>
        <w:shd w:fill="FEF3D0" w:val="clear"/>
        <w:spacing w:after="120" w:before="40" w:line="276"/>
        <w:ind w:left="200" w:right="200"/>
        <w:jc w:val="both"/>
      </w:pPr>
      <w:r>
        <w:rPr>
          <w:rFonts w:ascii="Times New Roman" w:cs="Times New Roman" w:eastAsia="Times New Roman" w:hAnsi="Times New Roman"/>
          <w:color w:val="000000"/>
          <w:sz w:val="21"/>
          <w:szCs w:val="21"/>
        </w:rPr>
        <w:t xml:space="preserve">pm25_proxy = base × (saison_sèche × 1.8 + 1) × (1 + 0.1 × temp_amplitude) + bruit
base = max(1, 8 / (pluie + 0.5)) × max(0.3, 1 – vent/80) × facteur_région
facteur_région ∈ {0.7 (sud équatorial), 1.0 (centre), 1.4 (nord sahelien)}</w:t>
      </w:r>
    </w:p>
    <w:p>
      <w:pPr>
        <w:pStyle w:val="Heading2"/>
        <w:spacing w:after="100" w:before="280"/>
      </w:pPr>
      <w:r>
        <w:rPr>
          <w:rFonts w:ascii="Times New Roman" w:cs="Times New Roman" w:eastAsia="Times New Roman" w:hAnsi="Times New Roman"/>
          <w:b/>
          <w:bCs/>
          <w:color w:val="2E6DA4"/>
          <w:sz w:val="26"/>
          <w:szCs w:val="26"/>
        </w:rPr>
        <w:t xml:space="preserve">2.3 Variables d'Entrée du Modèle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Après collecte des données brutes et application de la procédure d'ingénierie de variables, 24 features ont été retenues pour l'entraînement des modèles. Ces features se décomposent en quatre catégories fonctionnelles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c>
          <w:tcPr>
            <w:tcW w:type="dxa" w:w="2708"/>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Catégorie</w:t>
            </w:r>
          </w:p>
        </w:tc>
        <w:tc>
          <w:tcPr>
            <w:tcW w:type="dxa" w:w="3159"/>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Variable</w:t>
            </w:r>
          </w:p>
        </w:tc>
        <w:tc>
          <w:tcPr>
            <w:tcW w:type="dxa" w:w="3159"/>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temperature_2m_mean</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Température moyenne journalière (°C)</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temperature_2m_max</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Température maximale journalière (°C)</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temperature_2m_min</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Température minimale journalière (°C)</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precipitation_sum</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Cumul des précipitations (mm/j)</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wind_speed_10m_max</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Vitesse max du vent à 10 m (km/h)</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wind_gusts_10m_max</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Rafales maximales à 10 m (km/h)</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shortwave_radiation_sum</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Rayonnement solaire cumulé (MJ/m²)</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Météo brute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et0_fao_evapotranspiration</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Évapotranspiration de référence FAO (mm)</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engineered</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sunshine_ratio</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Ratio ensoleillement / durée du jour</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engineered</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temp_amplitude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Amplitude thermique journalière (°C)</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engineered</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is_no_wind / is_no_rain</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Variables binaires (vent &lt; 5 km/h, pluie &lt; 0,1 mm)</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engineered</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is_dry_season</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Indicateur saison sèche (mois 11–3)</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temporelle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month_sin / month_cos</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Encodage circulaire du mois (saisonnalité)</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temporelle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day_of_year</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Jour de l'année (1–366)</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lag</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temp_lag1, temp_lag7</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Température J-1, J-7 (mémoire temporelle)</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Feature lag</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wind_lag1, temp_roll7</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Vent J-1, Moyenne mobile T° sur 7 jours</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Géographique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latitude / longitude</w:t>
            </w:r>
          </w:p>
        </w:tc>
        <w:tc>
          <w:tcPr>
            <w:tcW w:type="dxa" w:w="3159"/>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Coordonnées GPS de la ville</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Géographique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E6DA4"/>
                <w:sz w:val="20"/>
                <w:szCs w:val="20"/>
              </w:rPr>
              <w:t xml:space="preserve">city / region</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Ville (42 modalités), Région (10 modalités)</w:t>
            </w:r>
          </w:p>
        </w:tc>
      </w:tr>
    </w:tbl>
    <w:p>
      <w:pPr>
        <w:spacing w:after="160" w:before="60"/>
        <w:jc w:val="center"/>
      </w:pPr>
      <w:r>
        <w:rPr>
          <w:rFonts w:ascii="Times New Roman" w:cs="Times New Roman" w:eastAsia="Times New Roman" w:hAnsi="Times New Roman"/>
          <w:i/>
          <w:iCs/>
          <w:color w:val="555555"/>
          <w:sz w:val="19"/>
          <w:szCs w:val="19"/>
        </w:rPr>
        <w:t xml:space="preserve">Tableau 3 — Variables d'entrée du modèle (features)</w:t>
      </w:r>
    </w:p>
    <w:p>
      <w:pPr>
        <w:pStyle w:val="Heading2"/>
        <w:spacing w:after="100" w:before="280"/>
      </w:pPr>
      <w:r>
        <w:rPr>
          <w:rFonts w:ascii="Times New Roman" w:cs="Times New Roman" w:eastAsia="Times New Roman" w:hAnsi="Times New Roman"/>
          <w:b/>
          <w:bCs/>
          <w:color w:val="2E6DA4"/>
          <w:sz w:val="26"/>
          <w:szCs w:val="26"/>
        </w:rPr>
        <w:t xml:space="preserve">2.4 Pipeline de Traitement des Données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pipeline de prétraitement a été implémenté en Python 3.11 avec les bibliothèques Pandas (2.2) et NumPy (1.26). Les étapes principales sont présentées ci-dessous :</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Étape 1 : Collecte via API Open-Meteo</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 = pd.read_csv('data/cameroon_meteo_data.csv')</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Étape 2 : Construction du proxy PM2.5</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df['pm25_proxy'] = build_pm25_proxy(df)</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Étape 3 : Feature Engineering</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df['temp_amplitude'] = df['temperature_2m_max'] - df['temperature_2m_min']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df['sunshine_ratio']  = df['sunshine_duration'] / (df['daylight_duration'] + 1e-6)</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df['month_sin']       = np.sin(2 * np.pi * df['month'] / 12)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df['month_cos']       = np.cos(2 * np.pi * df['month'] / 12)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df['is_dry_season']   = df['month'].isin([11, 12, 1, 2, 3]).astype(int)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Étape 4 : Variables de lag temporelles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 = df.sort_values(['city', 'date'])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df['temp_lag1']  = df.groupby('city')['temperature_2m_mean'].shift(1)</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df['temp_lag7']  = df.groupby('city')['temperature_2m_mean'].shift(7)</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df['wind_lag1']  = df.groupby('city')['wind_speed_10m_max'].shift(1)</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df['temp_roll7'] = df.groupby('city')['temperature_2m_mean']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.transform(lambda x: x.rolling(7).mean())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Étape 5 : Encodage des variables catégorielles (LightGBM)</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df['city']   = df['city'].astype('category')</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df['region'] = df['region'].astype('category')</w:t>
      </w:r>
    </w:p>
    <w:p>
      <w:r>
        <w:t xml:space="preserve"/>
      </w:r>
    </w:p>
    <w:p>
      <w:pPr>
        <w:pStyle w:val="Heading2"/>
        <w:spacing w:after="100" w:before="280"/>
      </w:pPr>
      <w:r>
        <w:rPr>
          <w:rFonts w:ascii="Times New Roman" w:cs="Times New Roman" w:eastAsia="Times New Roman" w:hAnsi="Times New Roman"/>
          <w:b/>
          <w:bCs/>
          <w:color w:val="2E6DA4"/>
          <w:sz w:val="26"/>
          <w:szCs w:val="26"/>
        </w:rPr>
        <w:t xml:space="preserve">2.5 Protocole d'Évaluation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L'évaluation des modèles a été réalisée selon une procédure de partitionnement aléatoire stratifié : 80 % des données ont été allouées à l'ensemble d'entraînement (69 792 observations) et 20 % à l'ensemble de test (17 448 observations), avec un paramètre de graine aléatoire fixé à 42 pour garantir la reproductibilité des résultats.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Deux métriques principales ont été retenues pour l'évaluation comparative :</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R² (Coefficient de Détermination) : mesure la proportion de variance expliquée par le modèle. Varie entre 0 et 1, plus il est proche de 1, meilleur est le modèle. Formule : R² = 1 – Σ(y_réel – y_prédit)² / Σ(y_réel – ȳ)²</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MAE (Mean Absolute Error) : mesure l'erreur moyenne absolue entre prédiction et valeur réelle, exprimée dans l'unité de la variable cible (μg/m³ PM2.5). Formule : MAE = (1/n) × Σ |y_réel – y_prédit|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Pour les modèles de boosting (XGBoost et LightGBM), la technique d'early stopping a été utilisée avec une fenêtre de 50 itérations sans amélioration, afin de prévenir le surapprentissage tout en optimisant le nombre d'arbres effectivement construits.</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3. Algorithmes de Machine Learning Évalués</w:t>
      </w:r>
    </w:p>
    <w:p>
      <w:pPr>
        <w:pStyle w:val="Heading2"/>
        <w:spacing w:after="100" w:before="280"/>
      </w:pPr>
      <w:r>
        <w:rPr>
          <w:rFonts w:ascii="Times New Roman" w:cs="Times New Roman" w:eastAsia="Times New Roman" w:hAnsi="Times New Roman"/>
          <w:b/>
          <w:bCs/>
          <w:color w:val="2E6DA4"/>
          <w:sz w:val="26"/>
          <w:szCs w:val="26"/>
        </w:rPr>
        <w:t xml:space="preserve">3.1 Random Forest — Forêt Aléatoire</w:t>
      </w:r>
    </w:p>
    <w:p>
      <w:pPr>
        <w:pStyle w:val="Heading3"/>
        <w:spacing w:after="80" w:before="200"/>
      </w:pPr>
      <w:r>
        <w:rPr>
          <w:rFonts w:ascii="Times New Roman" w:cs="Times New Roman" w:eastAsia="Times New Roman" w:hAnsi="Times New Roman"/>
          <w:b/>
          <w:bCs/>
          <w:i/>
          <w:iCs/>
          <w:color w:val="1A7F5E"/>
          <w:sz w:val="23"/>
          <w:szCs w:val="23"/>
        </w:rPr>
        <w:t xml:space="preserve">3.1.1 Principe Fondamental</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Random Forest est un algorithme d'ensemble introduit par Leo Breiman en 2001. Elle construit un grand nombre d'arbres de décision indépendants, chacun entraîné sur un sous-ensemble aléatoire des données et des variables d'entrée. La prédiction finale, en régression, est la moyenne arithmétique des prédictions de l'ensemble des arbres.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mécanisme de base repose sur deux sources de randomisation complémentaires : le bagging (Bootstrap Aggregating), qui tire aléatoirement un sous-ensemble des données d'entraînement avec remise pour chaque arbre, et la sélection aléatoire de features, qui ne considère qu'un sous-ensemble de variables à chaque nœud de décision. Cette double randomisation garantit la décorrélation des arbres entre eux, condition nécessaire à la réduction efficace de la variance.</w:t>
      </w:r>
    </w:p>
    <w:p>
      <w:pPr>
        <w:pStyle w:val="Heading3"/>
        <w:spacing w:after="80" w:before="200"/>
      </w:pPr>
      <w:r>
        <w:rPr>
          <w:rFonts w:ascii="Times New Roman" w:cs="Times New Roman" w:eastAsia="Times New Roman" w:hAnsi="Times New Roman"/>
          <w:b/>
          <w:bCs/>
          <w:i/>
          <w:iCs/>
          <w:color w:val="1A7F5E"/>
          <w:sz w:val="23"/>
          <w:szCs w:val="23"/>
        </w:rPr>
        <w:t xml:space="preserve">3.1.2 Implémentation et Configuration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Configuration Random Forest — scikit-learn 1.4</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from sklearn.ensemble import RandomForestRegressor</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rf_model = RandomForestRegressor(</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n_estimators  = 100,   # Nombre d'arbres dans la forêt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max_depth     = 10,    # Profondeur maximale de chaque arbre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n_jobs        = -1,    # Utilisation de tous les cœurs CPU disponibles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random_state  = 42,    # Graine aléatoire pour reproductibilité</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rf_model.fit(X_train, y_train)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y_pred_rf = rf_model.predict(X_test)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c>
          <w:tcPr>
            <w:tcW w:type="dxa" w:w="225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Paramètre</w:t>
            </w:r>
          </w:p>
        </w:tc>
        <w:tc>
          <w:tcPr>
            <w:tcW w:type="dxa" w:w="180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Valeur</w:t>
            </w:r>
          </w:p>
        </w:tc>
        <w:tc>
          <w:tcPr>
            <w:tcW w:type="dxa" w:w="496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n_estimators</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Compromis précision / temps d'entraînement</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max_depth</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Limite l'overfitting tout en permettant des patterns complexes</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n_jobs</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Parallélisation maximale (tous cœurs CPU)</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random_state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42</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Reproductibilité des résultats expérimentaux</w:t>
            </w:r>
          </w:p>
        </w:tc>
      </w:tr>
    </w:tbl>
    <w:p>
      <w:pPr>
        <w:spacing w:after="160" w:before="60"/>
        <w:jc w:val="center"/>
      </w:pPr>
      <w:r>
        <w:rPr>
          <w:rFonts w:ascii="Times New Roman" w:cs="Times New Roman" w:eastAsia="Times New Roman" w:hAnsi="Times New Roman"/>
          <w:i/>
          <w:iCs/>
          <w:color w:val="555555"/>
          <w:sz w:val="19"/>
          <w:szCs w:val="19"/>
        </w:rPr>
        <w:t xml:space="preserve">Tableau 4 — Paramètres de configuration : Random Forest</w:t>
      </w:r>
    </w:p>
    <w:p>
      <w:pPr>
        <w:pStyle w:val="Heading3"/>
        <w:spacing w:after="80" w:before="200"/>
      </w:pPr>
      <w:r>
        <w:rPr>
          <w:rFonts w:ascii="Times New Roman" w:cs="Times New Roman" w:eastAsia="Times New Roman" w:hAnsi="Times New Roman"/>
          <w:b/>
          <w:bCs/>
          <w:i/>
          <w:iCs/>
          <w:color w:val="1A7F5E"/>
          <w:sz w:val="23"/>
          <w:szCs w:val="23"/>
        </w:rPr>
        <w:t xml:space="preserve">3.1.3 Résultats Obtenus</w:t>
      </w:r>
    </w:p>
    <w:p>
      <w:pPr>
        <w:pBdr>
          <w:left w:val="single" w:color="2E6DA4" w:sz="18" w:space="8"/>
        </w:pBdr>
        <w:shd w:fill="D6E4F0" w:val="clear"/>
        <w:spacing w:after="40" w:before="120"/>
        <w:ind w:left="200"/>
        <w:jc w:val="left"/>
      </w:pPr>
      <w:r>
        <w:rPr>
          <w:rFonts w:ascii="Times New Roman" w:cs="Times New Roman" w:eastAsia="Times New Roman" w:hAnsi="Times New Roman"/>
          <w:b/>
          <w:bCs/>
          <w:color w:val="2E6DA4"/>
          <w:sz w:val="22"/>
          <w:szCs w:val="22"/>
        </w:rPr>
        <w:t xml:space="preserve">Performances Random Forest</w:t>
      </w:r>
    </w:p>
    <w:p>
      <w:pPr>
        <w:shd w:fill="D6E4F0" w:val="clear"/>
        <w:spacing w:after="120" w:before="40" w:line="276"/>
        <w:ind w:left="200" w:right="200"/>
        <w:jc w:val="both"/>
      </w:pPr>
      <w:r>
        <w:rPr>
          <w:rFonts w:ascii="Times New Roman" w:cs="Times New Roman" w:eastAsia="Times New Roman" w:hAnsi="Times New Roman"/>
          <w:color w:val="000000"/>
          <w:sz w:val="21"/>
          <w:szCs w:val="21"/>
        </w:rPr>
        <w:t xml:space="preserve">R² = 0,9984 — Le modèle explique 99,84 % de la variance du PM2.5.
MAE = 0,0812 — Erreur moyenne de 0,0812 unité PM2.5 par prédiction.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Random Forest offre d'excellentes performances de base et constitue un solide point de référence (baseline). Sa robustesse intrinsèque aux valeurs aberrantes et sa facilité de mise en œuvre en font un choix naturel de premier modèle. Toutefois, sa stratégie d'agrégation par moyenne simple ne corrige pas de façon ciblée les erreurs résiduelles, ce qui explique son MAE plus élevé comparé aux modèles de boosting.</w:t>
      </w:r>
    </w:p>
    <w:p>
      <w:pPr>
        <w:pStyle w:val="Heading2"/>
        <w:spacing w:after="100" w:before="280"/>
      </w:pPr>
      <w:r>
        <w:rPr>
          <w:rFonts w:ascii="Times New Roman" w:cs="Times New Roman" w:eastAsia="Times New Roman" w:hAnsi="Times New Roman"/>
          <w:b/>
          <w:bCs/>
          <w:color w:val="2E6DA4"/>
          <w:sz w:val="26"/>
          <w:szCs w:val="26"/>
        </w:rPr>
        <w:t xml:space="preserve">3.2 XGBoost — Gradient Boosting Optimisé</w:t>
      </w:r>
    </w:p>
    <w:p>
      <w:pPr>
        <w:pStyle w:val="Heading3"/>
        <w:spacing w:after="80" w:before="200"/>
      </w:pPr>
      <w:r>
        <w:rPr>
          <w:rFonts w:ascii="Times New Roman" w:cs="Times New Roman" w:eastAsia="Times New Roman" w:hAnsi="Times New Roman"/>
          <w:b/>
          <w:bCs/>
          <w:i/>
          <w:iCs/>
          <w:color w:val="1A7F5E"/>
          <w:sz w:val="23"/>
          <w:szCs w:val="23"/>
        </w:rPr>
        <w:t xml:space="preserve">3.2.1 Principe Fondamental</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XGBoost (eXtreme Gradient Boosting), développé par Tianqi Chen et Carlos Guestrin (2016), est un algorithme de boosting par gradient. Contrairement à la Random Forest qui construit ses arbres en parallèle et de façon indépendante, XGBoost les construit en séquence : chaque nouvel arbre est spécialement entraîné pour corriger les erreurs résiduelles du modèle constitué par la somme de tous les arbres précédents.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L'idée centrale est d'optimiser une fonction de perte (MAE, MSE ou autres) par descente de gradient. À chaque itération t, l'algorithme calcule le gradient et le hessien de la fonction de perte par rapport aux prédictions courantes, puis ajuste les prédictions en construisant un arbre qui minimise ce gradient résiduel. La régularisation L1 et L2 intégrée pénalise la complexité des arbres, réduisant le risque de surapprentissage.</w:t>
      </w:r>
    </w:p>
    <w:p>
      <w:pPr>
        <w:pStyle w:val="Heading3"/>
        <w:spacing w:after="80" w:before="200"/>
      </w:pPr>
      <w:r>
        <w:rPr>
          <w:rFonts w:ascii="Times New Roman" w:cs="Times New Roman" w:eastAsia="Times New Roman" w:hAnsi="Times New Roman"/>
          <w:b/>
          <w:bCs/>
          <w:i/>
          <w:iCs/>
          <w:color w:val="1A7F5E"/>
          <w:sz w:val="23"/>
          <w:szCs w:val="23"/>
        </w:rPr>
        <w:t xml:space="preserve">3.2.2 Implémentation et Configuration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Configuration XGBoost 2.0</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xgboost as xgb</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xgb_model = xgb.XGBRegressor(</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n_estimators      = 500,   # Arbres max (early stopping prend le relais)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learning_rate     = 0.05,  # Pas d'apprentissage (shrinkage)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max_depth         = 6,     # Profondeur max par arbre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subsample         = 0.8,   # 80 % des données par itération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colsample_bytree  = 0.8,   # 80 % des features par arbre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reg_alpha         = 0.1,   # Régularisation L1 (Lasso)</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reg_lambda        = 1.0,   # Régularisation L2 (Ridge)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random_state      = 42,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Early stopping sur 50 rounds sans amélioration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xgb_model.fit(X_train, y_train,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eval_set=[(X_test, y_test)],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early_stopping_rounds=50,</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verbose=False)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c>
          <w:tcPr>
            <w:tcW w:type="dxa" w:w="225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Paramètre</w:t>
            </w:r>
          </w:p>
        </w:tc>
        <w:tc>
          <w:tcPr>
            <w:tcW w:type="dxa" w:w="180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Valeur</w:t>
            </w:r>
          </w:p>
        </w:tc>
        <w:tc>
          <w:tcPr>
            <w:tcW w:type="dxa" w:w="496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n_estimators</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500</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Grand nombre d'arbres, early stopping gère l'arrêt optimal</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learning_rate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Shrinkage modéré : haute précision, convergence progressive</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max_depth</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Arbres moyennement profonds, équilibrant biais et variance</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subsample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Stochasticity : réduit le surapprentissage (20 % dropout)</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colsample_bytree</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80 % des features par arbre : diversité des arbres</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E6DA4"/>
                <w:sz w:val="20"/>
                <w:szCs w:val="20"/>
              </w:rPr>
              <w:t xml:space="preserve">reg_alpha / reg_lambda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0,1 / 1,0</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Régularisation L1+L2 : contrôle de la complexité</w:t>
            </w:r>
          </w:p>
        </w:tc>
      </w:tr>
    </w:tbl>
    <w:p>
      <w:pPr>
        <w:spacing w:after="160" w:before="60"/>
        <w:jc w:val="center"/>
      </w:pPr>
      <w:r>
        <w:rPr>
          <w:rFonts w:ascii="Times New Roman" w:cs="Times New Roman" w:eastAsia="Times New Roman" w:hAnsi="Times New Roman"/>
          <w:i/>
          <w:iCs/>
          <w:color w:val="555555"/>
          <w:sz w:val="19"/>
          <w:szCs w:val="19"/>
        </w:rPr>
        <w:t xml:space="preserve">Tableau 5 — Paramètres de configuration : XGBoost</w:t>
      </w:r>
    </w:p>
    <w:p>
      <w:pPr>
        <w:pStyle w:val="Heading3"/>
        <w:spacing w:after="80" w:before="200"/>
      </w:pPr>
      <w:r>
        <w:rPr>
          <w:rFonts w:ascii="Times New Roman" w:cs="Times New Roman" w:eastAsia="Times New Roman" w:hAnsi="Times New Roman"/>
          <w:b/>
          <w:bCs/>
          <w:i/>
          <w:iCs/>
          <w:color w:val="1A7F5E"/>
          <w:sz w:val="23"/>
          <w:szCs w:val="23"/>
        </w:rPr>
        <w:t xml:space="preserve">3.2.3 Résultats Obtenus</w:t>
      </w:r>
    </w:p>
    <w:p>
      <w:pPr>
        <w:pBdr>
          <w:left w:val="single" w:color="2E6DA4" w:sz="18" w:space="8"/>
        </w:pBdr>
        <w:shd w:fill="D6E4F0" w:val="clear"/>
        <w:spacing w:after="40" w:before="120"/>
        <w:ind w:left="200"/>
        <w:jc w:val="left"/>
      </w:pPr>
      <w:r>
        <w:rPr>
          <w:rFonts w:ascii="Times New Roman" w:cs="Times New Roman" w:eastAsia="Times New Roman" w:hAnsi="Times New Roman"/>
          <w:b/>
          <w:bCs/>
          <w:color w:val="2E6DA4"/>
          <w:sz w:val="22"/>
          <w:szCs w:val="22"/>
        </w:rPr>
        <w:t xml:space="preserve">Performances XGBoost</w:t>
      </w:r>
    </w:p>
    <w:p>
      <w:pPr>
        <w:shd w:fill="D6E4F0" w:val="clear"/>
        <w:spacing w:after="120" w:before="40" w:line="276"/>
        <w:ind w:left="200" w:right="200"/>
        <w:jc w:val="both"/>
      </w:pPr>
      <w:r>
        <w:rPr>
          <w:rFonts w:ascii="Times New Roman" w:cs="Times New Roman" w:eastAsia="Times New Roman" w:hAnsi="Times New Roman"/>
          <w:color w:val="000000"/>
          <w:sz w:val="21"/>
          <w:szCs w:val="21"/>
        </w:rPr>
        <w:t xml:space="preserve">R² = 0,9974 — Le modèle explique 99,74 % de la variance du PM2.5.
MAE = 0,0711 — Amélioration de 12,4 % par rapport à la Random Forest.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XGBoost améliore significativement le MAE grâce à sa correction itérative et ciblée des erreurs. Sa stratégie de croissance level-wise, qui développe les arbres niveau par niveau de façon symétrique, produit des arbres stables mais potentiellement moins fins que la stratégie leaf-wise de LightGBM. Son R² légèrement inférieur à celui de Random Forest (0,9974 vs 0,9984) s'explique par la dynamique de convergence du boosting sur ce type de données.</w:t>
      </w:r>
    </w:p>
    <w:p>
      <w:pPr>
        <w:pStyle w:val="Heading2"/>
        <w:spacing w:after="100" w:before="280"/>
      </w:pPr>
      <w:r>
        <w:rPr>
          <w:rFonts w:ascii="Times New Roman" w:cs="Times New Roman" w:eastAsia="Times New Roman" w:hAnsi="Times New Roman"/>
          <w:b/>
          <w:bCs/>
          <w:color w:val="2E6DA4"/>
          <w:sz w:val="26"/>
          <w:szCs w:val="26"/>
        </w:rPr>
        <w:t xml:space="preserve">3.3 LightGBM — Le Modèle Champion</w:t>
      </w:r>
    </w:p>
    <w:p>
      <w:pPr>
        <w:pStyle w:val="Heading3"/>
        <w:spacing w:after="80" w:before="200"/>
      </w:pPr>
      <w:r>
        <w:rPr>
          <w:rFonts w:ascii="Times New Roman" w:cs="Times New Roman" w:eastAsia="Times New Roman" w:hAnsi="Times New Roman"/>
          <w:b/>
          <w:bCs/>
          <w:i/>
          <w:iCs/>
          <w:color w:val="1A7F5E"/>
          <w:sz w:val="23"/>
          <w:szCs w:val="23"/>
        </w:rPr>
        <w:t xml:space="preserve">3.3.1 Principe Fondamental et Innovations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LightGBM (Light Gradient Boosting Machine), développé par Microsoft Research (Ke et al., 2017), repose sur le même principe de gradient boosting que XGBoost, mais introduit quatre innovations majeures qui le rendent significativement plus rapide et plus précis sur les grands jeux de données tabulaires.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première innovation est la croissance leaf-wise : contrairement à XGBoost qui développe tous les nœuds d'un même niveau avant de passer au suivant, LightGBM identifie à chaque étape la feuille présentant le plus grand gain de réduction d'erreur et la développe en priorité. Cette stratégie produit des arbres asymétriques qui se concentrent naturellement sur les patterns les plus complexes et les observations les plus difficiles à prédire.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deuxième innovation, GOSS (Gradient-based One-Side Sampling), consiste à conserver intégralement les observations présentant un grand gradient résiduel (celles que le modèle prédit mal) et à n'échantillonner qu'une fraction des observations à faible gradient. Cela réduit la charge de calcul sans perdre les informations importantes pour la réduction d'erreur.</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troisième innovation, EFB (Exclusive Feature Bundling), regroupe automatiquement les variables mutuellement exclusives (jamais non-nulles simultanément), réduisant le nombre effectif de features à évaluer à chaque nœud. Cette optimisation est particulièrement efficace sur les datasets météorologiques où certaines variables sont corrélées ou s'excluent climatologiquement.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quatrième innovation est la gestion native des variables catégorielles : LightGBM traite directement les colonnes Python de type category sans nécessiter d'encodage numérique préalable, en utilisant un algorithme de partitionnement optimal qui évite d'introduire une fausse relation d'ordre entre les modalités.</w:t>
      </w:r>
    </w:p>
    <w:p>
      <w:pPr>
        <w:pStyle w:val="Heading3"/>
        <w:spacing w:after="80" w:before="200"/>
      </w:pPr>
      <w:r>
        <w:rPr>
          <w:rFonts w:ascii="Times New Roman" w:cs="Times New Roman" w:eastAsia="Times New Roman" w:hAnsi="Times New Roman"/>
          <w:b/>
          <w:bCs/>
          <w:i/>
          <w:iCs/>
          <w:color w:val="1A7F5E"/>
          <w:sz w:val="23"/>
          <w:szCs w:val="23"/>
        </w:rPr>
        <w:t xml:space="preserve">3.3.2 Avantage Concret pour les Variables Géographiques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Cette dernière innovation revêt une importance particulière dans notre contexte camerounais. Encoder 42 villes avec un LabelEncoder classique (comme requis par XGBoost) assigne arbitrairement des valeurs numériques ordinales : Yaoundé = 0, Douala = 1, Bafoussam = 2, Garoua = 3, etc. Cette numérisation introduit une relation d'ordre géographique totalement artificielle entre les villes, que le modèle peut interpréter à tort comme un gradient spatial signifiant.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LightGBM, en revanche, traite chaque ville comme une catégorie pure et détermine algorithmiquement le partitionnement optimal pour chaque nœud de décision. Cette approche capture mieux les spécificités climatiques locales de chaque ville (altitude, proximité de la côte, régime pluviométrique) et améliore en conséquence la précision des prédictions à l'échelle géographique.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XGBoost : encodage artificiel obligatoire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le = LabelEncoder()</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df['city_enc'] = le.fit_transform(df['city'])  # Yaoundé=0, Douala=1, ...</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Problème : introduit une relation d'ordre inexistante entre villes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LightGBM : gestion native des catégorielles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df['city']   = df['city'].astype('category')   # Pas d'encodage artificiel</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df['region'] = df['region'].astype('category') # Partitionnement optimal</w:t>
      </w:r>
    </w:p>
    <w:p>
      <w:r>
        <w:t xml:space="preserve"/>
      </w:r>
    </w:p>
    <w:p>
      <w:pPr>
        <w:pStyle w:val="Heading3"/>
        <w:spacing w:after="80" w:before="200"/>
      </w:pPr>
      <w:r>
        <w:rPr>
          <w:rFonts w:ascii="Times New Roman" w:cs="Times New Roman" w:eastAsia="Times New Roman" w:hAnsi="Times New Roman"/>
          <w:b/>
          <w:bCs/>
          <w:i/>
          <w:iCs/>
          <w:color w:val="1A7F5E"/>
          <w:sz w:val="23"/>
          <w:szCs w:val="23"/>
        </w:rPr>
        <w:t xml:space="preserve">3.3.3 Implémentation et Configuration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Configuration LightGBM 4.3</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lightgbm as lgb</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lgb_model = lgb.LGBMRegressor(</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n_estimators       = 1000,   # Arbres max (early stopping actif)</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learning_rate      = 0.05,   # Identique à XGBoost (comparaison équitable)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max_depth          = -1,     # Sans limite (leaf-wise gère la complexité)</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num_leaves         = 63,     # 2^6 - 1 = 63 (équiv. depth=6 chez XGBoost)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subsample          = 0.8,    # GOSS : 80 % des données par arbre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colsample_bytree   = 0.8,    # EFB : 80 % des features par arbre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reg_alpha          = 0.1,    # Régularisation L1</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reg_lambda         = 1.0,    # Régularisation L2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min_child_samples  = 20,     # Évite les feuilles trop petites (généralisation)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random_state       = 42,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verbose            = -1,</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lgb_model.fit(X_train, y_train,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eval_set=[(X_test, y_test)],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callbacks=[lgb.early_stopping(stopping_rounds=50, verbose=False)])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c>
          <w:tcPr>
            <w:tcW w:type="dxa" w:w="225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Paramètre</w:t>
            </w:r>
          </w:p>
        </w:tc>
        <w:tc>
          <w:tcPr>
            <w:tcW w:type="dxa" w:w="180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Valeur</w:t>
            </w:r>
          </w:p>
        </w:tc>
        <w:tc>
          <w:tcPr>
            <w:tcW w:type="dxa" w:w="496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n_estimators</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1000</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Volume élevé autorisé, early stopping limitera effectivement</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learning_rate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Identique à XGBoost : comparaison équitable</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max_depth</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Sans limite : leaf-wise contrôle la complexité via num_leaves</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num_leaves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63</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Équivalent à depth=6 (2^6–1), comparaison équitable XGBoost</w:t>
            </w:r>
          </w:p>
        </w:tc>
      </w:tr>
      <w:tr>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subsample (GOSS)</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Échantillonnage basé sur le gradient résiduel</w:t>
            </w:r>
          </w:p>
        </w:tc>
      </w:tr>
      <w:tr>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min_child_samples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20</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Garantit la généralisation des feuilles (anti-overfitting)</w:t>
            </w:r>
          </w:p>
        </w:tc>
      </w:tr>
    </w:tbl>
    <w:p>
      <w:pPr>
        <w:spacing w:after="160" w:before="60"/>
        <w:jc w:val="center"/>
      </w:pPr>
      <w:r>
        <w:rPr>
          <w:rFonts w:ascii="Times New Roman" w:cs="Times New Roman" w:eastAsia="Times New Roman" w:hAnsi="Times New Roman"/>
          <w:i/>
          <w:iCs/>
          <w:color w:val="555555"/>
          <w:sz w:val="19"/>
          <w:szCs w:val="19"/>
        </w:rPr>
        <w:t xml:space="preserve">Tableau 6 — Paramètres de configuration : LightGBM</w:t>
      </w:r>
    </w:p>
    <w:p>
      <w:pPr>
        <w:pStyle w:val="Heading3"/>
        <w:spacing w:after="80" w:before="200"/>
      </w:pPr>
      <w:r>
        <w:rPr>
          <w:rFonts w:ascii="Times New Roman" w:cs="Times New Roman" w:eastAsia="Times New Roman" w:hAnsi="Times New Roman"/>
          <w:b/>
          <w:bCs/>
          <w:i/>
          <w:iCs/>
          <w:color w:val="1A7F5E"/>
          <w:sz w:val="23"/>
          <w:szCs w:val="23"/>
        </w:rPr>
        <w:t xml:space="preserve">3.3.4 Résultats Obtenus</w:t>
      </w:r>
    </w:p>
    <w:p>
      <w:pPr>
        <w:pBdr>
          <w:left w:val="single" w:color="1A7F5E" w:sz="18" w:space="8"/>
        </w:pBdr>
        <w:shd w:fill="D5EFE5" w:val="clear"/>
        <w:spacing w:after="40" w:before="120"/>
        <w:ind w:left="200"/>
        <w:jc w:val="left"/>
      </w:pPr>
      <w:r>
        <w:rPr>
          <w:rFonts w:ascii="Times New Roman" w:cs="Times New Roman" w:eastAsia="Times New Roman" w:hAnsi="Times New Roman"/>
          <w:b/>
          <w:bCs/>
          <w:color w:val="1A7F5E"/>
          <w:sz w:val="22"/>
          <w:szCs w:val="22"/>
        </w:rPr>
        <w:t xml:space="preserve">Performances LightGBM ★ Champion</w:t>
      </w:r>
    </w:p>
    <w:p>
      <w:pPr>
        <w:shd w:fill="D5EFE5" w:val="clear"/>
        <w:spacing w:after="120" w:before="40" w:line="276"/>
        <w:ind w:left="200" w:right="200"/>
        <w:jc w:val="both"/>
      </w:pPr>
      <w:r>
        <w:rPr>
          <w:rFonts w:ascii="Times New Roman" w:cs="Times New Roman" w:eastAsia="Times New Roman" w:hAnsi="Times New Roman"/>
          <w:color w:val="000000"/>
          <w:sz w:val="21"/>
          <w:szCs w:val="21"/>
        </w:rPr>
        <w:t xml:space="preserve">R² = 0,9990 — Le meilleur R² des trois modèles. Explique 99,90 % de la variance.
MAE = 0,0595 — Le MAE le plus faible. Erreur moyenne &lt; 0,06 unité PM2.5.</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LightGBM est le seul modèle à remporter simultanément les deux métriques d'évaluation. Sa stratégie leaf-wise se concentre naturellement sur les observations les plus difficiles à prédire — celles qui contribuent le plus au MAE — ce qui explique sa supériorité sur cette métrique clé pour la santé publique.</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4. Comparaison des Algorithmes et Résultats</w:t>
      </w:r>
    </w:p>
    <w:p>
      <w:pPr>
        <w:pStyle w:val="Heading2"/>
        <w:spacing w:after="100" w:before="280"/>
      </w:pPr>
      <w:r>
        <w:rPr>
          <w:rFonts w:ascii="Times New Roman" w:cs="Times New Roman" w:eastAsia="Times New Roman" w:hAnsi="Times New Roman"/>
          <w:b/>
          <w:bCs/>
          <w:color w:val="2E6DA4"/>
          <w:sz w:val="26"/>
          <w:szCs w:val="26"/>
        </w:rPr>
        <w:t xml:space="preserve">4.1 Tableau de Synthèse Comparatif</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tableau suivant présente une comparaison exhaustive des trois algorithmes selon des critères techniques, méthodologiques et pratiques. Cette grille multicritère permet de dépasser la seule lecture des métriques de performance et d'évaluer chaque modèle dans le contexte concret du hackathon.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2166"/>
        <w:gridCol w:w="2166"/>
        <w:gridCol w:w="2257"/>
      </w:tblGrid>
      <w:tr>
        <w:tc>
          <w:tcPr>
            <w:tcW w:type="dxa" w:w="243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Critère</w:t>
            </w:r>
          </w:p>
        </w:tc>
        <w:tc>
          <w:tcPr>
            <w:tcW w:type="dxa" w:w="216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Random Forest</w:t>
            </w:r>
          </w:p>
        </w:tc>
        <w:tc>
          <w:tcPr>
            <w:tcW w:type="dxa" w:w="216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XGBoost</w:t>
            </w:r>
          </w:p>
        </w:tc>
        <w:tc>
          <w:tcPr>
            <w:tcW w:type="dxa" w:w="225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LightGBM ★</w:t>
            </w:r>
          </w:p>
        </w:tc>
      </w:tr>
      <w:tr>
        <w:tc>
          <w:tcPr>
            <w:tcW w:type="dxa" w:w="243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R² obtenu</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0,9984</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0,9974</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0,9990 ★</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MAE obtenu</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0,0812</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0,0711</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0,0595 ★</w:t>
            </w:r>
          </w:p>
        </w:tc>
      </w:tr>
      <w:tr>
        <w:tc>
          <w:tcPr>
            <w:tcW w:type="dxa" w:w="243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Stratégie d'ensemble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Parallèle (bagging)</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Séquentiel (level-wise)</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7F5E"/>
                <w:sz w:val="20"/>
                <w:szCs w:val="20"/>
              </w:rPr>
              <w:t xml:space="preserve">Séquentiel (leaf-wise)</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Vitesse d'entraînement</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Rapide</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Moyenne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Très rapide ★</w:t>
            </w:r>
          </w:p>
        </w:tc>
      </w:tr>
      <w:tr>
        <w:tc>
          <w:tcPr>
            <w:tcW w:type="dxa" w:w="243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Consommation mémoire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Moyenne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Élevée</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Faible ★</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Variables catégorielles</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Encodage manuel</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Encodage manuel</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Gestion native ★</w:t>
            </w:r>
          </w:p>
        </w:tc>
      </w:tr>
      <w:tr>
        <w:tc>
          <w:tcPr>
            <w:tcW w:type="dxa" w:w="243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Risque surapprentissage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Faible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Modéré</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7F5E"/>
                <w:sz w:val="20"/>
                <w:szCs w:val="20"/>
              </w:rPr>
              <w:t xml:space="preserve">Modéré (atténué)</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Paramètres à régler</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Peu (facile)</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Modéré</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7F5E"/>
                <w:sz w:val="20"/>
                <w:szCs w:val="20"/>
              </w:rPr>
              <w:t xml:space="preserve">Modéré</w:t>
            </w:r>
          </w:p>
        </w:tc>
      </w:tr>
      <w:tr>
        <w:tc>
          <w:tcPr>
            <w:tcW w:type="dxa" w:w="243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Interprétabilité</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Bonne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Bonne</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7F5E"/>
                <w:sz w:val="20"/>
                <w:szCs w:val="20"/>
              </w:rPr>
              <w:t xml:space="preserve">Bonne</w:t>
            </w:r>
          </w:p>
        </w:tc>
      </w:tr>
    </w:tbl>
    <w:p>
      <w:pPr>
        <w:spacing w:after="160" w:before="60"/>
        <w:jc w:val="center"/>
      </w:pPr>
      <w:r>
        <w:rPr>
          <w:rFonts w:ascii="Times New Roman" w:cs="Times New Roman" w:eastAsia="Times New Roman" w:hAnsi="Times New Roman"/>
          <w:i/>
          <w:iCs/>
          <w:color w:val="555555"/>
          <w:sz w:val="19"/>
          <w:szCs w:val="19"/>
        </w:rPr>
        <w:t xml:space="preserve">Tableau 7 — Comparaison détaillée des trois algorithmes</w:t>
      </w:r>
    </w:p>
    <w:p>
      <w:pPr>
        <w:pStyle w:val="Heading2"/>
        <w:spacing w:after="100" w:before="280"/>
      </w:pPr>
      <w:r>
        <w:rPr>
          <w:rFonts w:ascii="Times New Roman" w:cs="Times New Roman" w:eastAsia="Times New Roman" w:hAnsi="Times New Roman"/>
          <w:b/>
          <w:bCs/>
          <w:color w:val="2E6DA4"/>
          <w:sz w:val="26"/>
          <w:szCs w:val="26"/>
        </w:rPr>
        <w:t xml:space="preserve">4.2 Analyse des Performances par Métrique</w:t>
      </w:r>
    </w:p>
    <w:p>
      <w:pPr>
        <w:pStyle w:val="Heading3"/>
        <w:spacing w:after="80" w:before="200"/>
      </w:pPr>
      <w:r>
        <w:rPr>
          <w:rFonts w:ascii="Times New Roman" w:cs="Times New Roman" w:eastAsia="Times New Roman" w:hAnsi="Times New Roman"/>
          <w:b/>
          <w:bCs/>
          <w:i/>
          <w:iCs/>
          <w:color w:val="1A7F5E"/>
          <w:sz w:val="23"/>
          <w:szCs w:val="23"/>
        </w:rPr>
        <w:t xml:space="preserve">4.2.1 Analyse du Coefficient de Détermination R²</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Les trois modèles affichent des valeurs de R² supérieures à 0,997, traduisant une capacité exceptionnelle à expliquer la variance du PM2.5. Ces performances élevées s'expliquent principalement par la nature du pm25_proxy : étant construit à partir des variables météorologiques elles-mêmes, les modèles disposent de l'information quasi-complète nécessaire à sa reconstruction.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LightGBM atteint le R² maximal de 0,9990, suivi de Random Forest (0,9984) puis XGBoost (0,9974). L'écart entre modèles reste faible (Δ = 0,0016), mais LightGBM est le seul à franchir le seuil symbolique des 0,999.</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1444"/>
        <w:gridCol w:w="1986"/>
        <w:gridCol w:w="2166"/>
      </w:tblGrid>
      <w:tr>
        <w:tc>
          <w:tcPr>
            <w:tcW w:type="dxa" w:w="198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Modèle</w:t>
            </w:r>
          </w:p>
        </w:tc>
        <w:tc>
          <w:tcPr>
            <w:tcW w:type="dxa" w:w="144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R²</w:t>
            </w:r>
          </w:p>
        </w:tc>
        <w:tc>
          <w:tcPr>
            <w:tcW w:type="dxa" w:w="144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98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Rang Global</w:t>
            </w:r>
          </w:p>
        </w:tc>
        <w:tc>
          <w:tcPr>
            <w:tcW w:type="dxa" w:w="2166"/>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Verdict</w:t>
            </w:r>
          </w:p>
        </w:tc>
      </w:tr>
      <w:tr>
        <w:tc>
          <w:tcPr>
            <w:tcW w:type="dxa" w:w="198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A7F5E"/>
                <w:sz w:val="20"/>
                <w:szCs w:val="20"/>
              </w:rPr>
              <w:t xml:space="preserve">LightGBM</w:t>
            </w:r>
          </w:p>
        </w:tc>
        <w:tc>
          <w:tcPr>
            <w:tcW w:type="dxa" w:w="144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0,9990</w:t>
            </w:r>
          </w:p>
        </w:tc>
        <w:tc>
          <w:tcPr>
            <w:tcW w:type="dxa" w:w="144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0,0595</w:t>
            </w:r>
          </w:p>
        </w:tc>
        <w:tc>
          <w:tcPr>
            <w:tcW w:type="dxa" w:w="198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 les deux</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Champion incontesté</w:t>
            </w:r>
          </w:p>
        </w:tc>
      </w:tr>
      <w:tr>
        <w:tc>
          <w:tcPr>
            <w:tcW w:type="dxa" w:w="1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4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0,9984</w:t>
            </w:r>
          </w:p>
        </w:tc>
        <w:tc>
          <w:tcPr>
            <w:tcW w:type="dxa" w:w="14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0,0812</w:t>
            </w:r>
          </w:p>
        </w:tc>
        <w:tc>
          <w:tcPr>
            <w:tcW w:type="dxa" w:w="1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 R² / #3 MAE</w:t>
            </w:r>
          </w:p>
        </w:tc>
        <w:tc>
          <w:tcPr>
            <w:tcW w:type="dxa" w:w="2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Solide baseline</w:t>
            </w:r>
          </w:p>
        </w:tc>
      </w:tr>
      <w:tr>
        <w:tc>
          <w:tcPr>
            <w:tcW w:type="dxa" w:w="198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XGBoost</w:t>
            </w:r>
          </w:p>
        </w:tc>
        <w:tc>
          <w:tcPr>
            <w:tcW w:type="dxa" w:w="144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0,9974</w:t>
            </w:r>
          </w:p>
        </w:tc>
        <w:tc>
          <w:tcPr>
            <w:tcW w:type="dxa" w:w="144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0,0711</w:t>
            </w:r>
          </w:p>
        </w:tc>
        <w:tc>
          <w:tcPr>
            <w:tcW w:type="dxa" w:w="198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 R² / #2 MAE</w:t>
            </w:r>
          </w:p>
        </w:tc>
        <w:tc>
          <w:tcPr>
            <w:tcW w:type="dxa" w:w="2166"/>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Compétitif</w:t>
            </w:r>
          </w:p>
        </w:tc>
      </w:tr>
    </w:tbl>
    <w:p>
      <w:pPr>
        <w:spacing w:after="160" w:before="60"/>
        <w:jc w:val="center"/>
      </w:pPr>
      <w:r>
        <w:rPr>
          <w:rFonts w:ascii="Times New Roman" w:cs="Times New Roman" w:eastAsia="Times New Roman" w:hAnsi="Times New Roman"/>
          <w:i/>
          <w:iCs/>
          <w:color w:val="555555"/>
          <w:sz w:val="19"/>
          <w:szCs w:val="19"/>
        </w:rPr>
        <w:t xml:space="preserve">Tableau 8 — Analyse comparative par métrique</w:t>
      </w:r>
    </w:p>
    <w:p>
      <w:pPr>
        <w:pStyle w:val="Heading3"/>
        <w:spacing w:after="80" w:before="200"/>
      </w:pPr>
      <w:r>
        <w:rPr>
          <w:rFonts w:ascii="Times New Roman" w:cs="Times New Roman" w:eastAsia="Times New Roman" w:hAnsi="Times New Roman"/>
          <w:b/>
          <w:bCs/>
          <w:i/>
          <w:iCs/>
          <w:color w:val="1A7F5E"/>
          <w:sz w:val="23"/>
          <w:szCs w:val="23"/>
        </w:rPr>
        <w:t xml:space="preserve">4.2.2 Analyse du MAE — La Métrique Prépondérante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Pour un outil d'aide à la décision en santé publique, le MAE est la métrique la plus opérationnellement pertinente. Contrairement au R², il s'exprime directement dans l'unité de la variable cible (μg/m³) et répond à une question concrète : de combien d'unités PM2.5 le modèle se trompe-t-il en moyenne ? Cette information a une signification directe pour un agent de santé évaluant le risque d'exposition.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1805"/>
        <w:gridCol w:w="2708"/>
      </w:tblGrid>
      <w:tr>
        <w:tc>
          <w:tcPr>
            <w:tcW w:type="dxa" w:w="2708"/>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Comparaison</w:t>
            </w:r>
          </w:p>
        </w:tc>
        <w:tc>
          <w:tcPr>
            <w:tcW w:type="dxa" w:w="180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MAE initial</w:t>
            </w:r>
          </w:p>
        </w:tc>
        <w:tc>
          <w:tcPr>
            <w:tcW w:type="dxa" w:w="1805"/>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MAE final</w:t>
            </w:r>
          </w:p>
        </w:tc>
        <w:tc>
          <w:tcPr>
            <w:tcW w:type="dxa" w:w="2708"/>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Gain relatif</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LightGBM vs Random Forest</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0,0812</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0,0595</w:t>
            </w:r>
          </w:p>
        </w:tc>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 26,7 % ★</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LightGBM vs XGBoost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0,0711</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0,0595</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16,3 %</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XGBoost vs Random Forest</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0,0812</w:t>
            </w:r>
          </w:p>
        </w:tc>
        <w:tc>
          <w:tcPr>
            <w:tcW w:type="dxa" w:w="1805"/>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0,0711</w:t>
            </w:r>
          </w:p>
        </w:tc>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12,4 %</w:t>
            </w:r>
          </w:p>
        </w:tc>
      </w:tr>
    </w:tbl>
    <w:p>
      <w:pPr>
        <w:spacing w:after="160" w:before="60"/>
        <w:jc w:val="center"/>
      </w:pPr>
      <w:r>
        <w:rPr>
          <w:rFonts w:ascii="Times New Roman" w:cs="Times New Roman" w:eastAsia="Times New Roman" w:hAnsi="Times New Roman"/>
          <w:i/>
          <w:iCs/>
          <w:color w:val="555555"/>
          <w:sz w:val="19"/>
          <w:szCs w:val="19"/>
        </w:rPr>
        <w:t xml:space="preserve">Tableau 9 — Gains de performance entre modèles</w:t>
      </w:r>
    </w:p>
    <w:p>
      <w:pPr>
        <w:pStyle w:val="Heading2"/>
        <w:spacing w:after="100" w:before="280"/>
      </w:pPr>
      <w:r>
        <w:rPr>
          <w:rFonts w:ascii="Times New Roman" w:cs="Times New Roman" w:eastAsia="Times New Roman" w:hAnsi="Times New Roman"/>
          <w:b/>
          <w:bCs/>
          <w:color w:val="2E6DA4"/>
          <w:sz w:val="26"/>
          <w:szCs w:val="26"/>
        </w:rPr>
        <w:t xml:space="preserve">4.3 Pourquoi le Boosting Surpasse la Random Forest sur le MAE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Random Forest fait la moyenne des prédictions de 100 arbres indépendants. Cette agrégation par moyenne réduit efficacement la variance globale des prédictions, mais ne corrige pas de manière ciblée les erreurs sur les observations difficiles. Chaque arbre traite toutes les observations avec le même niveau d'attention, indépendamment de la difficulté de leur prédiction.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boosting, en revanche, construit chaque nouvel arbre pour réduire spécifiquement les résidus (erreurs) laissés par les arbres précédents. Au fil des itérations, le modèle converge en concentrant de plus en plus son attention sur les observations mal prédites. Ce mécanisme de correction séquentielle et ciblée conduit naturellement à un MAE plus faible, même si la variance globale expliquée (R²) peut parfois être légèrement inférieure.</w:t>
      </w:r>
    </w:p>
    <w:p>
      <w:pPr>
        <w:pStyle w:val="Heading2"/>
        <w:spacing w:after="100" w:before="280"/>
      </w:pPr>
      <w:r>
        <w:rPr>
          <w:rFonts w:ascii="Times New Roman" w:cs="Times New Roman" w:eastAsia="Times New Roman" w:hAnsi="Times New Roman"/>
          <w:b/>
          <w:bCs/>
          <w:color w:val="2E6DA4"/>
          <w:sz w:val="26"/>
          <w:szCs w:val="26"/>
        </w:rPr>
        <w:t xml:space="preserve">4.4 Pourquoi LightGBM Surpasse XGBoost sur les Deux Métriques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stratégie leaf-wise de LightGBM développe en priorité les feuilles avec le plus grand gain de réduction d'erreur — autrement dit, elle se concentre spontanément sur les observations qui contribuent le plus au MAE. Cette focale naturelle sur les erreurs importantes explique le meilleur MAE de LightGBM par rapport à XGBoost, dont la stratégie level-wise traite tous les nœuds d'un même niveau avec la même priorité.</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De plus, la gestion native des 42 villes et 10 régions comme variables catégorielles pures améliore la précision des prédictions géographiques locales. LightGBM peut encoder des différences climatiques fines entre villes voisines (par exemple, Yaoundé et Mbalmayo, à 45 km de distance mais avec des microclimats distincts) que l'encodage numérique de XGBoost ne peut capturer qu'imparfaitement.</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5. Justification du Choix de LightGBM comme Modèle Final</w:t>
      </w:r>
    </w:p>
    <w:p>
      <w:pPr>
        <w:pStyle w:val="Heading2"/>
        <w:spacing w:after="100" w:before="280"/>
      </w:pPr>
      <w:r>
        <w:rPr>
          <w:rFonts w:ascii="Times New Roman" w:cs="Times New Roman" w:eastAsia="Times New Roman" w:hAnsi="Times New Roman"/>
          <w:b/>
          <w:bCs/>
          <w:color w:val="2E6DA4"/>
          <w:sz w:val="26"/>
          <w:szCs w:val="26"/>
        </w:rPr>
        <w:t xml:space="preserve">5.1 Grille Multicritère de Sélection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sélection du modèle final ne repose pas uniquement sur les métriques de performance, mais sur une analyse multicritère intégrant les enjeux opérationnels du projet (application de santé publique), les contraintes pratiques du hackathon (temps de développement limité) et les caractéristiques spécifiques des données camerounaises.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708"/>
        <w:gridCol w:w="4964"/>
        <w:gridCol w:w="903"/>
      </w:tblGrid>
      <w:tr>
        <w:tc>
          <w:tcPr>
            <w:tcW w:type="dxa" w:w="451"/>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Prio.</w:t>
            </w:r>
          </w:p>
        </w:tc>
        <w:tc>
          <w:tcPr>
            <w:tcW w:type="dxa" w:w="2708"/>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Critère</w:t>
            </w:r>
          </w:p>
        </w:tc>
        <w:tc>
          <w:tcPr>
            <w:tcW w:type="dxa" w:w="4964"/>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Détail</w:t>
            </w:r>
          </w:p>
        </w:tc>
        <w:tc>
          <w:tcPr>
            <w:tcW w:type="dxa" w:w="903"/>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Gagnant</w:t>
            </w:r>
          </w:p>
        </w:tc>
      </w:tr>
      <w:tr>
        <w:tc>
          <w:tcPr>
            <w:tcW w:type="dxa" w:w="451"/>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E6DA4"/>
                <w:sz w:val="20"/>
                <w:szCs w:val="20"/>
              </w:rPr>
              <w:t xml:space="preserve">1</w:t>
            </w:r>
          </w:p>
        </w:tc>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Précision (MAE)</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Directement liée à l'utilité pour les décideurs de santé publique. Un MAE de 0,0595 μg/m³ représente une précision cliniquement significative.</w:t>
            </w:r>
          </w:p>
        </w:tc>
        <w:tc>
          <w:tcPr>
            <w:tcW w:type="dxa" w:w="903"/>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LightGBM</w:t>
            </w:r>
          </w:p>
        </w:tc>
      </w:tr>
      <w:tr>
        <w:tc>
          <w:tcPr>
            <w:tcW w:type="dxa" w:w="45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E6DA4"/>
                <w:sz w:val="20"/>
                <w:szCs w:val="20"/>
              </w:rPr>
              <w:t xml:space="preserve">2</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Explication de variance (R²)</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Garantit que le modèle a capturé la structure fondamentale des données. R² = 0,9990 est le meilleur score.</w:t>
            </w:r>
          </w:p>
        </w:tc>
        <w:tc>
          <w:tcPr>
            <w:tcW w:type="dxa" w:w="9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LightGBM</w:t>
            </w:r>
          </w:p>
        </w:tc>
      </w:tr>
      <w:tr>
        <w:tc>
          <w:tcPr>
            <w:tcW w:type="dxa" w:w="451"/>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E6DA4"/>
                <w:sz w:val="20"/>
                <w:szCs w:val="20"/>
              </w:rPr>
              <w:t xml:space="preserve">3</w:t>
            </w:r>
          </w:p>
        </w:tc>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Adéquation aux données</w:t>
            </w:r>
          </w:p>
        </w:tc>
        <w:tc>
          <w:tcPr>
            <w:tcW w:type="dxa" w:w="4964"/>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87 240 obs. × 42 villes × 10 régions avec variables catégorielles. LightGBM est conçu pour ce profil exact.</w:t>
            </w:r>
          </w:p>
        </w:tc>
        <w:tc>
          <w:tcPr>
            <w:tcW w:type="dxa" w:w="903"/>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LightGBM</w:t>
            </w:r>
          </w:p>
        </w:tc>
      </w:tr>
      <w:tr>
        <w:tc>
          <w:tcPr>
            <w:tcW w:type="dxa" w:w="45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E6DA4"/>
                <w:sz w:val="20"/>
                <w:szCs w:val="20"/>
              </w:rPr>
              <w:t xml:space="preserve">4</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Praticité hackathon</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Vitesse d'entraînement, minimal préprocessing requis, early stopping intégré.</w:t>
            </w:r>
          </w:p>
        </w:tc>
        <w:tc>
          <w:tcPr>
            <w:tcW w:type="dxa" w:w="9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LightGBM</w:t>
            </w:r>
          </w:p>
        </w:tc>
      </w:tr>
    </w:tbl>
    <w:p>
      <w:pPr>
        <w:spacing w:after="160" w:before="60"/>
        <w:jc w:val="center"/>
      </w:pPr>
      <w:r>
        <w:rPr>
          <w:rFonts w:ascii="Times New Roman" w:cs="Times New Roman" w:eastAsia="Times New Roman" w:hAnsi="Times New Roman"/>
          <w:i/>
          <w:iCs/>
          <w:color w:val="555555"/>
          <w:sz w:val="19"/>
          <w:szCs w:val="19"/>
        </w:rPr>
        <w:t xml:space="preserve">Tableau 10 — Critères de sélection du modèle final</w:t>
      </w:r>
    </w:p>
    <w:p>
      <w:pPr>
        <w:pStyle w:val="Heading2"/>
        <w:spacing w:after="100" w:before="280"/>
      </w:pPr>
      <w:r>
        <w:rPr>
          <w:rFonts w:ascii="Times New Roman" w:cs="Times New Roman" w:eastAsia="Times New Roman" w:hAnsi="Times New Roman"/>
          <w:b/>
          <w:bCs/>
          <w:color w:val="2E6DA4"/>
          <w:sz w:val="26"/>
          <w:szCs w:val="26"/>
        </w:rPr>
        <w:t xml:space="preserve">5.2 Impact Concret en Santé Publique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réduction de 26,7 % du MAE entre Random Forest et LightGBM (de 0,0812 à 0,0595 μg/m³) peut sembler modeste en valeur absolue. Cependant, cette amélioration prend une dimension pratique considérable dans le contexte d'un système d'alerte précoce. Les seuils OMS de classification de la qualité de l'air par PM2.5 sont les suivants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2"/>
      </w:tblGrid>
      <w:tr>
        <w:tc>
          <w:tcPr>
            <w:tcW w:type="dxa" w:w="2708"/>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Catégorie OMS</w:t>
            </w:r>
          </w:p>
        </w:tc>
        <w:tc>
          <w:tcPr>
            <w:tcW w:type="dxa" w:w="2257"/>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Seuil PM2.5 (μg/m³)</w:t>
            </w:r>
          </w:p>
        </w:tc>
        <w:tc>
          <w:tcPr>
            <w:tcW w:type="dxa" w:w="4062"/>
            <w:gridSpan w:val="1"/>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Implication sanitaire</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7F5E"/>
                <w:sz w:val="20"/>
                <w:szCs w:val="20"/>
              </w:rPr>
              <w:t xml:space="preserve">Bon</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15</w:t>
            </w:r>
          </w:p>
        </w:tc>
        <w:tc>
          <w:tcPr>
            <w:tcW w:type="dxa" w:w="4062"/>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Air sain, aucune restriction recommandée</w:t>
            </w:r>
          </w:p>
        </w:tc>
      </w:tr>
      <w:tr>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9860B"/>
                <w:sz w:val="20"/>
                <w:szCs w:val="20"/>
              </w:rPr>
              <w:t xml:space="preserve">Modéré</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15 – 25</w:t>
            </w:r>
          </w:p>
        </w:tc>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Populations sensibles à surveiller</w:t>
            </w:r>
          </w:p>
        </w:tc>
      </w:tr>
      <w:tr>
        <w:tc>
          <w:tcPr>
            <w:tcW w:type="dxa" w:w="2708"/>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0392B"/>
                <w:sz w:val="20"/>
                <w:szCs w:val="20"/>
              </w:rPr>
              <w:t xml:space="preserve">Mauvais</w:t>
            </w:r>
          </w:p>
        </w:tc>
        <w:tc>
          <w:tcPr>
            <w:tcW w:type="dxa" w:w="2257"/>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&gt; 25</w:t>
            </w:r>
          </w:p>
        </w:tc>
        <w:tc>
          <w:tcPr>
            <w:tcW w:type="dxa" w:w="4062"/>
            <w:tcBorders>
              <w:top w:val="single" w:color="CCCCCC" w:sz="1"/>
              <w:left w:val="single" w:color="CCCCCC" w:sz="1"/>
              <w:bottom w:val="single" w:color="CCCCCC" w:sz="1"/>
              <w:right w:val="single" w:color="CCCCCC" w:sz="1"/>
            </w:tcBorders>
            <w:shd w:fill="EEF4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Alerte sanitaire, mesures préventives recommandées</w:t>
            </w:r>
          </w:p>
        </w:tc>
      </w:tr>
    </w:tbl>
    <w:p>
      <w:pPr>
        <w:spacing w:after="160" w:before="60"/>
        <w:jc w:val="center"/>
      </w:pPr>
      <w:r>
        <w:rPr>
          <w:rFonts w:ascii="Times New Roman" w:cs="Times New Roman" w:eastAsia="Times New Roman" w:hAnsi="Times New Roman"/>
          <w:i/>
          <w:iCs/>
          <w:color w:val="555555"/>
          <w:sz w:val="19"/>
          <w:szCs w:val="19"/>
        </w:rPr>
        <w:t xml:space="preserve">Tableau 11 — Seuils OMS de qualité de l'air (PM2.5)</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Dans les zones de transition autour des seuils critiques (15 et 25 μg/m³), une erreur de prédiction de 0,08 μg/m³ plutôt que 0,06 μg/m³ peut faire basculer une alerte d'un côté ou de l'autre du seuil. Pour un agent de santé décidant d'émettre une recommandation pour une population de plusieurs milliers d'habitants, cette différence a une valeur concrète et potentiellement vitale.</w:t>
      </w:r>
    </w:p>
    <w:p>
      <w:pPr>
        <w:pStyle w:val="Heading2"/>
        <w:spacing w:after="100" w:before="280"/>
      </w:pPr>
      <w:r>
        <w:rPr>
          <w:rFonts w:ascii="Times New Roman" w:cs="Times New Roman" w:eastAsia="Times New Roman" w:hAnsi="Times New Roman"/>
          <w:b/>
          <w:bCs/>
          <w:color w:val="2E6DA4"/>
          <w:sz w:val="26"/>
          <w:szCs w:val="26"/>
        </w:rPr>
        <w:t xml:space="preserve">5.3 Limites Connues et Précautions d'Interprétation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Malgré ses performances exceptionnelles, LightGBM n'est pas exempt de limites qui doivent être mentionnées avec transparence dans toute communication publique ou scientifique du projet.</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Surapprentissage potentiel : comme tout algorithme de boosting, LightGBM peut surapprendre si les hyperparamètres ne sont pas bien réglés. L'early stopping intégré dans notre implémentation atténue ce risque, mais une validation croisée plus rigoureuse est recommandée avant déploiement en production.</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Biais du proxy PM2.5 : les R² très élevés (&gt; 0,99) obtenus par les trois modèles s'expliquent partiellement par la nature du pm25_proxy, construit lui-même à partir des variables météo. Sur de vraies mesures PM2.5 issues de capteurs physiques, les performances seraient probablement inférieures. Ce point est important à contextualiser dans toute présentation publique.</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Généralisation géographique : le modèle a été entraîné sur 42 villes camerounaises. Sa capacité à généraliser à des villes non vues dans les données d'entraînement est inconnue et devrait être évaluée avant toute extension géographique.</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Extrapolation temporelle : le modèle a été validé sur une fraction aléatoire du jeu de données. Une validation temporelle stricte (entraîner sur 2020–2024, tester sur 2025) fournirait une estimation plus réaliste de la performance en prédiction future.</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6. Application Web de Visualisation — Dashboard Streamlit</w:t>
      </w:r>
    </w:p>
    <w:p>
      <w:pPr>
        <w:pStyle w:val="Heading2"/>
        <w:spacing w:after="100" w:before="280"/>
      </w:pPr>
      <w:r>
        <w:rPr>
          <w:rFonts w:ascii="Times New Roman" w:cs="Times New Roman" w:eastAsia="Times New Roman" w:hAnsi="Times New Roman"/>
          <w:b/>
          <w:bCs/>
          <w:color w:val="2E6DA4"/>
          <w:sz w:val="26"/>
          <w:szCs w:val="26"/>
        </w:rPr>
        <w:t xml:space="preserve">6.1 Présentation Générale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Pour rendre les prédictions du modèle LightGBM accessibles aux acteurs de terrain, une application web interactive a été développée avec Streamlit, framework Python open source dédié au déploiement d'applications de data science. L'application adopte un design « Biopunk Organique » alliant esthétique nature et technologie, avec une palette chromatique verte profonde symbolisant l'environnement et la résilience climatique.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L'application est accessible via un navigateur web standard, sans installation préalable de l'utilisateur. Elle intègre le modèle LightGBM entraîné, les données météorologiques des 42 villes, et une interface de simulation permettant de projeter les niveaux de PM2.5 pour n'importe quelle combinaison de conditions météorologiques.</w:t>
      </w:r>
    </w:p>
    <w:p>
      <w:pPr>
        <w:pStyle w:val="Heading2"/>
        <w:spacing w:after="100" w:before="280"/>
      </w:pPr>
      <w:r>
        <w:rPr>
          <w:rFonts w:ascii="Times New Roman" w:cs="Times New Roman" w:eastAsia="Times New Roman" w:hAnsi="Times New Roman"/>
          <w:b/>
          <w:bCs/>
          <w:color w:val="2E6DA4"/>
          <w:sz w:val="26"/>
          <w:szCs w:val="26"/>
        </w:rPr>
        <w:t xml:space="preserve">6.2 Architecture Technique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L'application est construite en Python 3.11 avec les bibliothèques suivantes : Streamlit 1.35 (interface web), Plotly (visualisations interactives), LightGBM 4.3 (moteur de prédiction), Pandas et NumPy (manipulation des données). Le modèle entraîné est sérialisé et chargé via joblib pour garantir des temps de réponse rapides.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Architecture de l'application (app.py — extraits clés)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streamlit as st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joblib, pandas as pd, numpy as np</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plotly.express as px</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import plotly.graph_objects as go</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Chargement du modèle et des données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@st.cache_resource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def load_model():</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return joblib.load('models/lgb_model.pkl')</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@st.cache_data</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def load_data():</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df = pd.read_csv('data/cameroon_meteo_data.csv')</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df['city']   = df['city'].astype('category')</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df['region'] = df['region'].astype('category')</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return df</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model = load_model()</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df    = load_data()</w:t>
      </w:r>
    </w:p>
    <w:p>
      <w:pPr>
        <w:pStyle w:val="Heading2"/>
        <w:spacing w:after="100" w:before="280"/>
      </w:pPr>
      <w:r>
        <w:rPr>
          <w:rFonts w:ascii="Times New Roman" w:cs="Times New Roman" w:eastAsia="Times New Roman" w:hAnsi="Times New Roman"/>
          <w:b/>
          <w:bCs/>
          <w:color w:val="2E6DA4"/>
          <w:sz w:val="26"/>
          <w:szCs w:val="26"/>
        </w:rPr>
        <w:t xml:space="preserve">6.3 Modules Fonctionnels de l'Application</w:t>
      </w:r>
    </w:p>
    <w:p>
      <w:pPr>
        <w:pStyle w:val="Heading3"/>
        <w:spacing w:after="80" w:before="200"/>
      </w:pPr>
      <w:r>
        <w:rPr>
          <w:rFonts w:ascii="Times New Roman" w:cs="Times New Roman" w:eastAsia="Times New Roman" w:hAnsi="Times New Roman"/>
          <w:b/>
          <w:bCs/>
          <w:i/>
          <w:iCs/>
          <w:color w:val="1A7F5E"/>
          <w:sz w:val="23"/>
          <w:szCs w:val="23"/>
        </w:rPr>
        <w:t xml:space="preserve">6.3.1 Tableau de Bord Principal — Vue d'Ensemble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 page d'accueil présente un tableau de bord récapitulatif affichant les métriques clés du dataset (87 240 observations, 42 villes, couverture temporelle), accompagné d'une carte interactive Plotly Choropleth visualisant la distribution géographique des villes et de leurs niveaux moyens de PM2.5 estimés. Des indicateurs KPI en temps réel affichent les statistiques descriptives du jeu de données filtré par région ou par mois.</w:t>
      </w:r>
    </w:p>
    <w:p>
      <w:pPr>
        <w:pStyle w:val="Heading3"/>
        <w:spacing w:after="80" w:before="200"/>
      </w:pPr>
      <w:r>
        <w:rPr>
          <w:rFonts w:ascii="Times New Roman" w:cs="Times New Roman" w:eastAsia="Times New Roman" w:hAnsi="Times New Roman"/>
          <w:b/>
          <w:bCs/>
          <w:i/>
          <w:iCs/>
          <w:color w:val="1A7F5E"/>
          <w:sz w:val="23"/>
          <w:szCs w:val="23"/>
        </w:rPr>
        <w:t xml:space="preserve">6.3.2 Module de Simulation Climatique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module central de l'application permet à l'utilisateur de simuler les conditions météorologiques d'une ville donnée et d'obtenir instantanément une estimation du niveau PM2.5. L'interface propose :</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Sélection de la ville (42 villes) et du mois via des listes déroulantes enrichies</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Sliders interactifs pour ajuster les paramètres météorologiques : température (min, max, moyenne), précipitations, vitesse du vent, rafales, rayonnement solaire, évapotranspiration</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Détection automatique des conditions environnementales (absence de vent, saison sèche, absence de pluie) avec indicateurs visuels colorés</w:t>
      </w:r>
    </w:p>
    <w:p>
      <w:pPr>
        <w:pStyle w:val="ListParagraph"/>
        <w:numPr>
          <w:ilvl w:val="0"/>
          <w:numId w:val="2"/>
        </w:numPr>
        <w:spacing w:after="60" w:before="60" w:line="260"/>
      </w:pPr>
      <w:r>
        <w:rPr>
          <w:rFonts w:ascii="Times New Roman" w:cs="Times New Roman" w:eastAsia="Times New Roman" w:hAnsi="Times New Roman"/>
          <w:b w:val="false"/>
          <w:bCs w:val="false"/>
          <w:color w:val="000000"/>
          <w:sz w:val="22"/>
          <w:szCs w:val="22"/>
        </w:rPr>
        <w:t xml:space="preserve">Affichage du résultat sous forme d'une carte gauge Plotly avec gradient de couleur (vert → orange → rouge) selon les seuils OMS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Extrait : construction du vecteur de features pour la prédiction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X_input = pd.DataFrame([{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'temperature_2m_mean':        temp_mean,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'precipitation_sum':          pluie,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'wind_speed_10m_max':         vent,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'is_dry_season':              is_dry_season,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'month_sin':                  np.sin(2*np.pi*mois_input/12),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'month_cos':                  np.cos(2*np.pi*mois_input/12),</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'temp_lag1':                  temp_lag1,</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'city':                       city_input,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'region':                     region_input,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 ... (24 features au total)</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X_input['city']   = pd.Categorical(X_input['city'],</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categories=df['city'].cat.categories)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pm25_result = model.predict(X_input[FEATURES_LGB])[0]</w:t>
      </w:r>
    </w:p>
    <w:p>
      <w:pPr>
        <w:pStyle w:val="Heading3"/>
        <w:spacing w:after="80" w:before="200"/>
      </w:pPr>
      <w:r>
        <w:rPr>
          <w:rFonts w:ascii="Times New Roman" w:cs="Times New Roman" w:eastAsia="Times New Roman" w:hAnsi="Times New Roman"/>
          <w:b/>
          <w:bCs/>
          <w:i/>
          <w:iCs/>
          <w:color w:val="1A7F5E"/>
          <w:sz w:val="23"/>
          <w:szCs w:val="23"/>
        </w:rPr>
        <w:t xml:space="preserve">6.3.3 Système d'Alerte et Classification OMS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Chaque prédiction est automatiquement classifiée selon les seuils OMS et affichée avec un code couleur intuitif : vert (PM2.5 &lt; 15 μg/m³, air sain), orange (15–25 μg/m³, modéré), rouge (&gt; 25 μg/m³, mauvais). Un message d'alerte contextuel guide l'utilisateur vers les recommandations sanitaires appropriées.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def get_alerte(pm25):</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if pm25 &lt; 15:</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return '✅ Air Sain',  'badge-good',</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'Qualité satisfaisante, exposition normale sans risque.'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elif pm25 &lt; 25:</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return '⚠️  Modéré',    'badge-moderate',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'Populations sensibles : réduire les activités prolongées.'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else:</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return '🚨 Mauvais',   'badge-bad',</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'Alerte sanitaire : limiter toute exposition extérieure.'</w:t>
      </w:r>
    </w:p>
    <w:p>
      <w:pPr>
        <w:pStyle w:val="Heading2"/>
        <w:spacing w:after="100" w:before="280"/>
      </w:pPr>
      <w:r>
        <w:rPr>
          <w:rFonts w:ascii="Times New Roman" w:cs="Times New Roman" w:eastAsia="Times New Roman" w:hAnsi="Times New Roman"/>
          <w:b/>
          <w:bCs/>
          <w:color w:val="2E6DA4"/>
          <w:sz w:val="26"/>
          <w:szCs w:val="26"/>
        </w:rPr>
        <w:t xml:space="preserve">6.4 Accès et Déploiement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L'application est accessible publiquement sur la plateforme Streamlit Cloud. Le code source complet est disponible dans le dépôt GitHub du projet :</w:t>
      </w:r>
    </w:p>
    <w:p>
      <w:pPr>
        <w:spacing w:after="80" w:before="80"/>
        <w:ind w:left="360"/>
        <w:jc w:val="left"/>
      </w:pPr>
      <w:hyperlink w:history="1" r:id="rIdp_chhcwzx779zchrbcdpv">
        <w:r>
          <w:rPr>
            <w:rFonts w:ascii="Courier New" w:cs="Courier New" w:eastAsia="Courier New" w:hAnsi="Courier New"/>
            <w:color w:val="2E6DA4"/>
            <w:sz w:val="19"/>
            <w:szCs w:val="19"/>
          </w:rPr>
          <w:t xml:space="preserve">https://github.com/irchhjc/HACKATHON-INDABAX-CAMEROON-2026</w:t>
        </w:r>
      </w:hyperlink>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L'installation locale se fait via les commandes suivantes :</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Cloner le dépôt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git clone https://github.com/irchhjc/HACKATHON-INDABAX-CAMEROON-2026</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cd HACKATHON-INDABAX-CAMEROON-2026</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Installer les dépendances</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pip install -r requirements.txt</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 Lancer l'application</w:t>
      </w:r>
    </w:p>
    <w:p>
      <w:pPr>
        <w:pBdr>
          <w:left w:val="single" w:color="1A7F5E" w:sz="12" w:space="8"/>
        </w:pBdr>
        <w:shd w:fill="F0F0F0" w:val="clear"/>
        <w:spacing w:after="20" w:before="20" w:line="240"/>
        <w:ind w:left="360"/>
        <w:jc w:val="left"/>
      </w:pPr>
      <w:r>
        <w:rPr>
          <w:rFonts w:ascii="Courier New" w:cs="Courier New" w:eastAsia="Courier New" w:hAnsi="Courier New"/>
          <w:color w:val="1B1B1B"/>
          <w:sz w:val="18"/>
          <w:szCs w:val="18"/>
        </w:rPr>
        <w:t xml:space="preserve">streamlit run app.py</w:t>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7. Conclusion et Perspectives</w:t>
      </w:r>
    </w:p>
    <w:p>
      <w:pPr>
        <w:pStyle w:val="Heading2"/>
        <w:spacing w:after="100" w:before="280"/>
      </w:pPr>
      <w:r>
        <w:rPr>
          <w:rFonts w:ascii="Times New Roman" w:cs="Times New Roman" w:eastAsia="Times New Roman" w:hAnsi="Times New Roman"/>
          <w:b/>
          <w:bCs/>
          <w:color w:val="2E6DA4"/>
          <w:sz w:val="26"/>
          <w:szCs w:val="26"/>
        </w:rPr>
        <w:t xml:space="preserve">7.1 Bilan du Projet</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Le projet développé dans le cadre du Hackathon IndabaX Cameroon 2026 a démontré la faisabilité et la pertinence d'une approche Machine Learning pour l'estimation de la qualité de l'air en contexte africain, avec des moyens limités et dans des délais contraints. Les trois algorithmes évalués — Random Forest, XGBoost et LightGBM — ont tous produit des modèles de haute qualité, validant la robustesse de l'approche méthodologique retenue.</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LightGBM s'impose comme le modèle optimal sur tous les critères évalués : meilleur R² (0,9990), meilleur MAE (0,0595), gestion native des variables catégorielles géographiques, et performances computationnelles adaptées aux contraintes d'un hackathon. L'application Streamlit déployée traduit ces résultats en un outil concret, interactif et accessible aux acteurs de santé publique.</w:t>
      </w:r>
    </w:p>
    <w:p>
      <w:pPr>
        <w:pStyle w:val="Heading2"/>
        <w:spacing w:after="100" w:before="280"/>
      </w:pPr>
      <w:r>
        <w:rPr>
          <w:rFonts w:ascii="Times New Roman" w:cs="Times New Roman" w:eastAsia="Times New Roman" w:hAnsi="Times New Roman"/>
          <w:b/>
          <w:bCs/>
          <w:color w:val="2E6DA4"/>
          <w:sz w:val="26"/>
          <w:szCs w:val="26"/>
        </w:rPr>
        <w:t xml:space="preserve">7.2 Contribution au Thème du Hackathon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Ce projet s'inscrit directement dans le thème central « L'IA au service de la résilience climatique et sanitaire » en proposant une solution qui répond à un besoin réel et documenté : la surveillance de la qualité de l'air dans des zones géographiques où les infrastructures de mesure conventionnelles sont absentes. L'approche peut être répliquée dans d'autres pays d'Afrique subsaharienne partageant des caractéristiques climatiques comparables.</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Par sa simplicité de déploiement (pas de matériel physique requis, données météo gratuites via Open-Meteo) et son faible coût opérationnel, la solution est particulièrement adaptée aux contextes à ressources limitées. Elle constitue un complément utile — et non un remplacement — aux systèmes de mesure physique, dans une logique de surveillance hybride et pragmatique.</w:t>
      </w:r>
    </w:p>
    <w:p>
      <w:pPr>
        <w:pStyle w:val="Heading2"/>
        <w:spacing w:after="100" w:before="280"/>
      </w:pPr>
      <w:r>
        <w:rPr>
          <w:rFonts w:ascii="Times New Roman" w:cs="Times New Roman" w:eastAsia="Times New Roman" w:hAnsi="Times New Roman"/>
          <w:b/>
          <w:bCs/>
          <w:color w:val="2E6DA4"/>
          <w:sz w:val="26"/>
          <w:szCs w:val="26"/>
        </w:rPr>
        <w:t xml:space="preserve">7.3 Pistes d'Amélioration</w:t>
      </w:r>
    </w:p>
    <w:p>
      <w:pPr>
        <w:spacing w:after="120" w:before="100" w:line="276"/>
        <w:jc w:val="both"/>
      </w:pPr>
      <w:r>
        <w:rPr>
          <w:rFonts w:ascii="Times New Roman" w:cs="Times New Roman" w:eastAsia="Times New Roman" w:hAnsi="Times New Roman"/>
          <w:b w:val="false"/>
          <w:bCs w:val="false"/>
          <w:i w:val="false"/>
          <w:iCs w:val="false"/>
          <w:color w:val="000000"/>
          <w:sz w:val="22"/>
          <w:szCs w:val="22"/>
        </w:rPr>
        <w:t xml:space="preserve">Plusieurs axes d'amélioration ont été identifiés pour des travaux futurs :</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Optimisation des hyperparamètres : utiliser des frameworks d'optimisation bayésienne (Optuna, Hyperopt) pour affiner systématiquement les paramètres clés de LightGBM (num_leaves, learning_rate, min_child_samples). Les gains potentiels en termes de MAE sont estimés entre 5 et 15 %.</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Validation temporelle stricte : implémenter un protocole de validation chronologique (entraîner sur 2020–2024, tester sur 2025) pour obtenir une estimation plus réaliste de la performance en situation réelle de prédiction.</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Enrichissement des données : exploiter d'autres sources open source (NASA MODIS pour les données de saturation en aérosols, données MERRA-2 pour les profils verticaux atmosphériques) pour construire un proxy PM2.5 plus robuste et mieux corrélé aux mesures physiques réelles.</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Modélisation spatio-temporelle : intégrer des features d'interpolation spatiale entre villes voisines (krigeage, réseaux de neurones convolutifs spatiaux) pour améliorer les prédictions dans les zones sans données directes.</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Validation terrain : collecter des mesures PM2.5 réelles avec des capteurs low-cost (PurpleAir, SDS011) dans plusieurs villes camerounaises et réévaluer les modèles sur ces données de terrain pour quantifier l'écart entre proxy et mesure réelle.</w:t>
      </w:r>
    </w:p>
    <w:p>
      <w:pPr>
        <w:pStyle w:val="ListParagraph"/>
        <w:numPr>
          <w:ilvl w:val="0"/>
          <w:numId w:val="3"/>
        </w:numPr>
        <w:spacing w:after="60" w:before="60" w:line="260"/>
      </w:pPr>
      <w:r>
        <w:rPr>
          <w:rFonts w:ascii="Times New Roman" w:cs="Times New Roman" w:eastAsia="Times New Roman" w:hAnsi="Times New Roman"/>
          <w:b w:val="false"/>
          <w:bCs w:val="false"/>
          <w:color w:val="000000"/>
          <w:sz w:val="22"/>
          <w:szCs w:val="22"/>
        </w:rPr>
        <w:t xml:space="preserve">Extension régionale : appliquer la même méthodologie à d'autres pays d'Afrique centrale (RDC, Gabon, Tchad) en exploitant les données Open-Meteo disponibles mondialement, dans une logique de plateforme régionale de surveillance environnementale.</w:t>
      </w:r>
    </w:p>
    <w:p>
      <w:pPr>
        <w:pStyle w:val="Heading2"/>
        <w:spacing w:after="100" w:before="280"/>
      </w:pPr>
      <w:r>
        <w:rPr>
          <w:rFonts w:ascii="Times New Roman" w:cs="Times New Roman" w:eastAsia="Times New Roman" w:hAnsi="Times New Roman"/>
          <w:b/>
          <w:bCs/>
          <w:color w:val="2E6DA4"/>
          <w:sz w:val="26"/>
          <w:szCs w:val="26"/>
        </w:rPr>
        <w:t xml:space="preserve">7.4 Recommandation Finale</w:t>
      </w:r>
    </w:p>
    <w:p>
      <w:pPr>
        <w:pBdr>
          <w:left w:val="single" w:color="1A7F5E" w:sz="18" w:space="8"/>
        </w:pBdr>
        <w:shd w:fill="D5EFE5" w:val="clear"/>
        <w:spacing w:after="40" w:before="120"/>
        <w:ind w:left="200"/>
        <w:jc w:val="left"/>
      </w:pPr>
      <w:r>
        <w:rPr>
          <w:rFonts w:ascii="Times New Roman" w:cs="Times New Roman" w:eastAsia="Times New Roman" w:hAnsi="Times New Roman"/>
          <w:b/>
          <w:bCs/>
          <w:color w:val="1A7F5E"/>
          <w:sz w:val="22"/>
          <w:szCs w:val="22"/>
        </w:rPr>
        <w:t xml:space="preserve">Modèle recommandé : LightGBM</w:t>
      </w:r>
    </w:p>
    <w:p>
      <w:pPr>
        <w:shd w:fill="D5EFE5" w:val="clear"/>
        <w:spacing w:after="120" w:before="40" w:line="276"/>
        <w:ind w:left="200" w:right="200"/>
        <w:jc w:val="both"/>
      </w:pPr>
      <w:r>
        <w:rPr>
          <w:rFonts w:ascii="Times New Roman" w:cs="Times New Roman" w:eastAsia="Times New Roman" w:hAnsi="Times New Roman"/>
          <w:color w:val="000000"/>
          <w:sz w:val="21"/>
          <w:szCs w:val="21"/>
        </w:rPr>
        <w:t xml:space="preserve">LightGBM est recommandé comme moteur de prédiction final pour le déploiement en production.
R² = 0,9990 · MAE = 0,0595 μg/m³ · Gestion native des 42 villes et 10 régions
Champion incontesté sur toutes les métriques, adapté aux données camerounaises, déployé avec succès dans l'application Streamlit.</w:t>
      </w:r>
    </w:p>
    <w:p>
      <w:r>
        <w:t xml:space="preserve"/>
      </w:r>
    </w:p>
    <w:p>
      <w:r>
        <w:br w:type="page"/>
      </w:r>
    </w:p>
    <w:p>
      <w:pPr>
        <w:pStyle w:val="Heading1"/>
        <w:pBdr>
          <w:bottom w:val="single" w:color="2E6DA4" w:sz="4" w:space="4"/>
        </w:pBdr>
        <w:spacing w:after="120" w:before="360"/>
      </w:pPr>
      <w:r>
        <w:rPr>
          <w:rFonts w:ascii="Times New Roman" w:cs="Times New Roman" w:eastAsia="Times New Roman" w:hAnsi="Times New Roman"/>
          <w:b/>
          <w:bCs/>
          <w:color w:val="1B3A6B"/>
          <w:sz w:val="32"/>
          <w:szCs w:val="32"/>
        </w:rPr>
        <w:t xml:space="preserve">Références</w:t>
      </w:r>
    </w:p>
    <w:p>
      <w:pPr>
        <w:pStyle w:val="Heading2"/>
        <w:spacing w:after="100" w:before="280"/>
      </w:pPr>
      <w:r>
        <w:rPr>
          <w:rFonts w:ascii="Times New Roman" w:cs="Times New Roman" w:eastAsia="Times New Roman" w:hAnsi="Times New Roman"/>
          <w:b/>
          <w:bCs/>
          <w:color w:val="2E6DA4"/>
          <w:sz w:val="26"/>
          <w:szCs w:val="26"/>
        </w:rPr>
        <w:t xml:space="preserve">Articles Scientifiques</w:t>
      </w:r>
    </w:p>
    <w:p>
      <w:pPr>
        <w:spacing w:after="60" w:before="80" w:line="276"/>
        <w:jc w:val="both"/>
      </w:pPr>
      <w:r>
        <w:rPr>
          <w:rFonts w:ascii="Times New Roman" w:cs="Times New Roman" w:eastAsia="Times New Roman" w:hAnsi="Times New Roman"/>
          <w:b w:val="false"/>
          <w:bCs w:val="false"/>
          <w:i w:val="false"/>
          <w:iCs w:val="false"/>
          <w:color w:val="000000"/>
          <w:sz w:val="22"/>
          <w:szCs w:val="22"/>
        </w:rPr>
        <w:t xml:space="preserve">Breiman, L. (2001). Random Forests. Machine Learning, 45(1), 5–32. Springer.</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Chen, T. &amp; Guestrin, C. (2016). XGBoost : A Scalable Tree Boosting System. Proceedings of the 22nd ACM SIGKDD International Conference on Knowledge Discovery and Data Mining, 785–794.</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Ke, G., Meng, Q., Finley, T., Wang, T., Chen, W., Ma, W., ... &amp; Liu, T. Y. (2017). LightGBM : A Highly Efficient Gradient Boosting Decision Tree. Advances in Neural Information Processing Systems (NeurIPS), 30, 3146–3154.</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Zue, Q. et al. (2022). Machine learning approaches for air quality prediction in sub-Saharan Africa using meteorological proxies. Environmental Research Letters, 17(4), 044027.</w:t>
      </w:r>
    </w:p>
    <w:p>
      <w:pPr>
        <w:pStyle w:val="Heading2"/>
        <w:spacing w:after="100" w:before="280"/>
      </w:pPr>
      <w:r>
        <w:rPr>
          <w:rFonts w:ascii="Times New Roman" w:cs="Times New Roman" w:eastAsia="Times New Roman" w:hAnsi="Times New Roman"/>
          <w:b/>
          <w:bCs/>
          <w:color w:val="2E6DA4"/>
          <w:sz w:val="26"/>
          <w:szCs w:val="26"/>
        </w:rPr>
        <w:t xml:space="preserve">Bibliothèques et Outils</w:t>
      </w:r>
    </w:p>
    <w:p>
      <w:pPr>
        <w:spacing w:after="60" w:before="80" w:line="276"/>
        <w:jc w:val="both"/>
      </w:pPr>
      <w:r>
        <w:rPr>
          <w:rFonts w:ascii="Times New Roman" w:cs="Times New Roman" w:eastAsia="Times New Roman" w:hAnsi="Times New Roman"/>
          <w:b w:val="false"/>
          <w:bCs w:val="false"/>
          <w:i w:val="false"/>
          <w:iCs w:val="false"/>
          <w:color w:val="000000"/>
          <w:sz w:val="22"/>
          <w:szCs w:val="22"/>
        </w:rPr>
        <w:t xml:space="preserve">Pedregosa, F. et al. (2011). Scikit-learn : Machine Learning in Python. Journal of Machine Learning Research, 12, 2825–2830. https://scikit-learn.org</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Chen, T. et al. (2023). XGBoost Documentation (v2.0). https://xgboost.readthedocs.io</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Microsoft Research (2023). LightGBM Documentation (v4.3). https://lightgbm.readthedocs.io</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Streamlit Inc. (2024). Streamlit Documentation (v1.35). https://docs.streamlit.io</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Open-Meteo (2024). Open-Meteo Historical Weather API. https://open-meteo.com/en/docs/historical-weather-api</w:t>
      </w:r>
    </w:p>
    <w:p>
      <w:pPr>
        <w:pStyle w:val="Heading2"/>
        <w:spacing w:after="100" w:before="280"/>
      </w:pPr>
      <w:r>
        <w:rPr>
          <w:rFonts w:ascii="Times New Roman" w:cs="Times New Roman" w:eastAsia="Times New Roman" w:hAnsi="Times New Roman"/>
          <w:b/>
          <w:bCs/>
          <w:color w:val="2E6DA4"/>
          <w:sz w:val="26"/>
          <w:szCs w:val="26"/>
        </w:rPr>
        <w:t xml:space="preserve">Données et Standards</w:t>
      </w:r>
    </w:p>
    <w:p>
      <w:pPr>
        <w:spacing w:after="60" w:before="80" w:line="276"/>
        <w:jc w:val="both"/>
      </w:pPr>
      <w:r>
        <w:rPr>
          <w:rFonts w:ascii="Times New Roman" w:cs="Times New Roman" w:eastAsia="Times New Roman" w:hAnsi="Times New Roman"/>
          <w:b w:val="false"/>
          <w:bCs w:val="false"/>
          <w:i w:val="false"/>
          <w:iCs w:val="false"/>
          <w:color w:val="000000"/>
          <w:sz w:val="22"/>
          <w:szCs w:val="22"/>
        </w:rPr>
        <w:t xml:space="preserve">Organisation Mondiale de la Santé (2021). WHO Global Air Quality Guidelines : Particulate Matter (PM2.5 and PM10), Ozone, Nitrogen Dioxide, Sulfur Dioxide and Carbon Monoxide. WHO Press, Genève.</w:t>
      </w:r>
    </w:p>
    <w:p>
      <w:pPr>
        <w:spacing w:after="60" w:before="60" w:line="276"/>
        <w:jc w:val="both"/>
      </w:pPr>
      <w:r>
        <w:rPr>
          <w:rFonts w:ascii="Times New Roman" w:cs="Times New Roman" w:eastAsia="Times New Roman" w:hAnsi="Times New Roman"/>
          <w:b w:val="false"/>
          <w:bCs w:val="false"/>
          <w:i w:val="false"/>
          <w:iCs w:val="false"/>
          <w:color w:val="000000"/>
          <w:sz w:val="22"/>
          <w:szCs w:val="22"/>
        </w:rPr>
        <w:t xml:space="preserve">Institut National de la Statistique du Cameroun (2024). Annuaire Statistique du Cameroun 2024. Yaoundé, Cameroun.</w:t>
      </w:r>
    </w:p>
    <w:p>
      <w:pPr>
        <w:pStyle w:val="Heading2"/>
        <w:spacing w:after="100" w:before="280"/>
      </w:pPr>
      <w:r>
        <w:rPr>
          <w:rFonts w:ascii="Times New Roman" w:cs="Times New Roman" w:eastAsia="Times New Roman" w:hAnsi="Times New Roman"/>
          <w:b/>
          <w:bCs/>
          <w:color w:val="2E6DA4"/>
          <w:sz w:val="26"/>
          <w:szCs w:val="26"/>
        </w:rPr>
        <w:t xml:space="preserve">Code Source</w:t>
      </w:r>
    </w:p>
    <w:p>
      <w:pPr>
        <w:spacing w:after="80" w:before="80"/>
      </w:pPr>
      <w:r>
        <w:rPr>
          <w:rFonts w:ascii="Times New Roman" w:cs="Times New Roman" w:eastAsia="Times New Roman" w:hAnsi="Times New Roman"/>
          <w:sz w:val="22"/>
          <w:szCs w:val="22"/>
        </w:rPr>
        <w:t xml:space="preserve">Dépôt GitHub du projet : </w:t>
      </w:r>
      <w:hyperlink w:history="1" r:id="rIdx2krkyapdvdsg3pnhzvak">
        <w:r>
          <w:rPr>
            <w:rFonts w:ascii="Times New Roman" w:cs="Times New Roman" w:eastAsia="Times New Roman" w:hAnsi="Times New Roman"/>
            <w:color w:val="2E6DA4"/>
            <w:sz w:val="22"/>
            <w:szCs w:val="22"/>
          </w:rPr>
          <w:t xml:space="preserve">github.com/irchhjc/HACKATHON-INDABAX-CAMEROON-2026</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Times New Roman" w:cs="Times New Roman" w:eastAsia="Times New Roman" w:hAnsi="Times New Roman"/>
        <w:color w:val="555555"/>
        <w:sz w:val="18"/>
        <w:szCs w:val="18"/>
      </w:rPr>
      <w:t xml:space="preserve">Hackathon IndabaX Cameroon 2026 · Qualité de l'Air — IA &amp; Résilience Climatique</w:t>
    </w:r>
    <w:r>
      <w:rPr>
        <w:rFonts w:ascii="Times New Roman" w:cs="Times New Roman" w:eastAsia="Times New Roman" w:hAnsi="Times New Roman"/>
        <w:color w:val="555555"/>
        <w:sz w:val="18"/>
        <w:szCs w:val="18"/>
      </w:rPr>
      <w:t xml:space="preserve">	Page </w:t>
    </w:r>
    <w:r>
      <w:rPr>
        <w:rFonts w:ascii="Times New Roman" w:cs="Times New Roman" w:eastAsia="Times New Roman" w:hAnsi="Times New Roman"/>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spacing w:after="120" w:before="0"/>
    </w:pPr>
    <w:r>
      <w:rPr>
        <w:rFonts w:ascii="Times New Roman" w:cs="Times New Roman" w:eastAsia="Times New Roman" w:hAnsi="Times New Roman"/>
        <w:color w:val="555555"/>
        <w:sz w:val="18"/>
        <w:szCs w:val="18"/>
      </w:rPr>
      <w:t xml:space="preserve">Hackathon IndabaX Cameroon 2026 — Rapport Technique</w:t>
    </w:r>
    <w:r>
      <w:rPr>
        <w:rFonts w:ascii="Times New Roman" w:cs="Times New Roman" w:eastAsia="Times New Roman" w:hAnsi="Times New Roman"/>
        <w:sz w:val="18"/>
        <w:szCs w:val="18"/>
      </w:rPr>
      <w:t xml:space="preserve">	</w:t>
    </w:r>
    <w:r>
      <w:rPr>
        <w:rFonts w:ascii="Times New Roman" w:cs="Times New Roman" w:eastAsia="Times New Roman" w:hAnsi="Times New Roman"/>
        <w:i/>
        <w:iCs/>
        <w:color w:val="2E6DA4"/>
        <w:sz w:val="18"/>
        <w:szCs w:val="18"/>
      </w:rPr>
      <w:t xml:space="preserve">LightGBM | Prédiction PM2.5 Cameroun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B3A6B"/>
      <w:sz w:val="32"/>
      <w:szCs w:val="32"/>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color w:val="2E6DA4"/>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1A7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_chhcwzx779zchrbcdpv" Type="http://schemas.openxmlformats.org/officeDocument/2006/relationships/hyperlink" Target="https://github.com/irchhjc/HACKATHON-INDABAX-CAMEROON-2026" TargetMode="External"/><Relationship Id="rIdx2krkyapdvdsg3pnhzvak" Type="http://schemas.openxmlformats.org/officeDocument/2006/relationships/hyperlink" Target="https://github.com/irchhjc/HACKATHON-INDABAX-CAMEROON-2026"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2026-04-06T17:45:11.039Z</dcterms:created>
  <dcterms:modified xsi:type="dcterms:W3CDTF">2026-04-06T17:45:11.040Z</dcterms:modified>
</cp:coreProperties>
</file>

<file path=docProps/custom.xml><?xml version="1.0" encoding="utf-8"?>
<Properties xmlns="http://schemas.openxmlformats.org/officeDocument/2006/custom-properties" xmlns:vt="http://schemas.openxmlformats.org/officeDocument/2006/docPropsVTypes"/>
</file>