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Open the .csv 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Remove excess whitespaces and illegal characters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Read each row one at a time: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Coerce the FACE AMOUNT value into a Float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Set the STATUS = 1 if value == ‘Active’, otherwise 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If the CHARGE TYPE value is empty, set it to ‘Property Taxes’, otherwise parse it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based on the State codes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Take the PARCEL ID and/or the ALTERNATE ID and create the URL link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Go to the link and download the 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Determine the Property Owner Type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Determine if Absentee Owner / Lives in State?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Parse Building Description </w:t>
      </w:r>
      <w:r w:rsidDel="00000000" w:rsidR="00000000" w:rsidRPr="00000000">
        <w:rPr>
          <w:b w:val="1"/>
          <w:sz w:val="36"/>
          <w:szCs w:val="36"/>
          <w:rtl w:val="0"/>
        </w:rPr>
        <w:t xml:space="preserve">( only if in NJ 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Get the property taxes (if available)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Retrieve Sales History in the correct format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Get the Assessed and Appraised values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Determine the Property Class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based on the State codes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