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b/>
          <w:i w:val="0"/>
          <w:color w:val="1F3864"/>
          <w:sz w:val="34"/>
        </w:rPr>
        <w:t>Website Development Proposal &amp; Quotation</w:t>
      </w:r>
    </w:p>
    <w:p>
      <w:pPr>
        <w:spacing w:after="40"/>
      </w:pPr>
      <w:r>
        <w:rPr>
          <w:b w:val="0"/>
          <w:i w:val="0"/>
          <w:color w:val="595959"/>
          <w:sz w:val="21"/>
        </w:rPr>
        <w:t>EL PR &amp; Media Consultancy   ·   Al Soura Media Services   ·   Health Investment &amp; Pharmaceutical Industries Summit</w:t>
      </w:r>
    </w:p>
    <w:p>
      <w:pPr>
        <w:spacing w:after="40"/>
      </w:pPr>
      <w:r>
        <w:rPr>
          <w:b w:val="0"/>
          <w:i w:val="0"/>
          <w:color w:val="595959"/>
          <w:sz w:val="21"/>
        </w:rPr>
        <w:t>Prepared by: Abdu Murad   ·   hi@abdumurad.com   ·   abdumurad.com</w:t>
      </w:r>
    </w:p>
    <w:p>
      <w:pPr>
        <w:spacing w:after="240"/>
      </w:pPr>
      <w:r>
        <w:rPr>
          <w:b w:val="0"/>
          <w:i w:val="0"/>
          <w:color w:val="595959"/>
          <w:sz w:val="21"/>
        </w:rPr>
        <w:t>Date: August 9, 2026   ·   This offer is valid for 30 days.</w:t>
      </w:r>
    </w:p>
    <w:p>
      <w:pPr>
        <w:pStyle w:val="Heading1"/>
        <w:spacing w:before="280" w:after="140"/>
      </w:pPr>
      <w:r>
        <w:rPr>
          <w:rFonts w:ascii="Calibri" w:hAnsi="Calibri"/>
          <w:b/>
          <w:color w:val="1F3864"/>
          <w:sz w:val="26"/>
        </w:rPr>
        <w:t>1. Overview</w:t>
      </w:r>
    </w:p>
    <w:p>
      <w:pPr>
        <w:spacing w:after="120"/>
      </w:pPr>
      <w:r>
        <w:rPr>
          <w:b w:val="0"/>
          <w:i w:val="0"/>
          <w:sz w:val="21"/>
        </w:rPr>
        <w:t>Following your request to simplify the scope of the three websites, this proposal covers the design, development, and launch of three professional, bilingual (Arabic/English) websites of four main pages each. Two options are offered: a Standard package, and an option that adds an independent Content Management System (CMS) to any or all of the sites so your team can edit content without a developer.</w:t>
      </w:r>
    </w:p>
    <w:p>
      <w:pPr>
        <w:spacing w:after="120"/>
      </w:pPr>
      <w:r>
        <w:rPr>
          <w:b w:val="0"/>
          <w:i w:val="0"/>
          <w:sz w:val="21"/>
        </w:rPr>
        <w:t>All three sites are built on a modern architecture that loads fast on Libyan mobile networks, is highly secure, and remains online even during server maintenance. The Health Summit website additionally includes a complete online registration system with a private admin dashboard.</w:t>
      </w:r>
    </w:p>
    <w:p>
      <w:pPr>
        <w:pStyle w:val="Heading1"/>
        <w:spacing w:before="280" w:after="140"/>
      </w:pPr>
      <w:r>
        <w:rPr>
          <w:rFonts w:ascii="Calibri" w:hAnsi="Calibri"/>
          <w:b/>
          <w:color w:val="1F3864"/>
          <w:sz w:val="26"/>
        </w:rPr>
        <w:t>2. Scope of Work</w:t>
      </w:r>
    </w:p>
    <w:p>
      <w:pPr>
        <w:spacing w:after="120"/>
      </w:pPr>
      <w:r>
        <w:rPr>
          <w:b w:val="0"/>
          <w:i/>
          <w:color w:val="595959"/>
          <w:sz w:val="21"/>
        </w:rPr>
        <w:t>The section structure below is our proposed layout for each page; it will be refined together with you during the design phase.</w:t>
      </w:r>
    </w:p>
    <w:p>
      <w:pPr>
        <w:pStyle w:val="Heading2"/>
        <w:spacing w:before="200" w:after="100"/>
      </w:pPr>
      <w:r>
        <w:rPr>
          <w:rFonts w:ascii="Calibri" w:hAnsi="Calibri"/>
          <w:b/>
          <w:color w:val="1F3864"/>
          <w:sz w:val="22"/>
        </w:rPr>
        <w:t>2.1  EL PR &amp; Media Consultancy — elprmedia.co.uk</w:t>
      </w:r>
    </w:p>
    <w:p>
      <w:pPr>
        <w:pStyle w:val="ListBullet"/>
        <w:spacing w:after="60"/>
      </w:pPr>
      <w:r>
        <w:rPr>
          <w:sz w:val="21"/>
        </w:rPr>
        <w:t>Home: hero section with tagline and call-to-action, services overview cards, company introduction with key figures, client/partner logos, closing call-to-action.</w:t>
      </w:r>
    </w:p>
    <w:p>
      <w:pPr>
        <w:pStyle w:val="ListBullet"/>
        <w:spacing w:after="60"/>
      </w:pPr>
      <w:r>
        <w:rPr>
          <w:sz w:val="21"/>
        </w:rPr>
        <w:t>About Us: company story and mission, values, leadership/team, why-us highlights.</w:t>
      </w:r>
    </w:p>
    <w:p>
      <w:pPr>
        <w:pStyle w:val="ListBullet"/>
        <w:spacing w:after="60"/>
      </w:pPr>
      <w:r>
        <w:rPr>
          <w:sz w:val="21"/>
        </w:rPr>
        <w:t>Services: services grid (media relations, PR campaigns, content, events, crisis communication) with a how-we-work overview.</w:t>
      </w:r>
    </w:p>
    <w:p>
      <w:pPr>
        <w:pStyle w:val="ListBullet"/>
        <w:spacing w:after="60"/>
      </w:pPr>
      <w:r>
        <w:rPr>
          <w:sz w:val="21"/>
        </w:rPr>
        <w:t>Contact Us: contact form, phone/email/address, map, social media links.</w:t>
      </w:r>
    </w:p>
    <w:p>
      <w:pPr>
        <w:pStyle w:val="Heading2"/>
        <w:spacing w:before="200" w:after="100"/>
      </w:pPr>
      <w:r>
        <w:rPr>
          <w:rFonts w:ascii="Calibri" w:hAnsi="Calibri"/>
          <w:b/>
          <w:color w:val="1F3864"/>
          <w:sz w:val="22"/>
        </w:rPr>
        <w:t>2.2  Al Soura Media Services — alsoura.ly</w:t>
      </w:r>
    </w:p>
    <w:p>
      <w:pPr>
        <w:pStyle w:val="ListBullet"/>
        <w:spacing w:after="60"/>
      </w:pPr>
      <w:r>
        <w:rPr>
          <w:sz w:val="21"/>
        </w:rPr>
        <w:t>Home: visual hero, services overview, featured work strip, client logos, call-to-action.</w:t>
      </w:r>
    </w:p>
    <w:p>
      <w:pPr>
        <w:pStyle w:val="ListBullet"/>
        <w:spacing w:after="60"/>
      </w:pPr>
      <w:r>
        <w:rPr>
          <w:sz w:val="21"/>
        </w:rPr>
        <w:t>About Us: story and mission, team, capabilities.</w:t>
      </w:r>
    </w:p>
    <w:p>
      <w:pPr>
        <w:pStyle w:val="ListBullet"/>
        <w:spacing w:after="60"/>
      </w:pPr>
      <w:r>
        <w:rPr>
          <w:sz w:val="21"/>
        </w:rPr>
        <w:t>Services: production services grid (video, photography, design, social media) with process overview.</w:t>
      </w:r>
    </w:p>
    <w:p>
      <w:pPr>
        <w:pStyle w:val="ListBullet"/>
        <w:spacing w:after="60"/>
      </w:pPr>
      <w:r>
        <w:rPr>
          <w:sz w:val="21"/>
        </w:rPr>
        <w:t>Contact Us: contact form, details, map, social media links.</w:t>
      </w:r>
    </w:p>
    <w:p>
      <w:pPr>
        <w:pStyle w:val="Heading2"/>
        <w:spacing w:before="200" w:after="100"/>
      </w:pPr>
      <w:r>
        <w:rPr>
          <w:rFonts w:ascii="Calibri" w:hAnsi="Calibri"/>
          <w:b/>
          <w:color w:val="1F3864"/>
          <w:sz w:val="22"/>
        </w:rPr>
        <w:t>2.3  Health Investment &amp; Pharmaceutical Industries Summit — healthsummit.ly</w:t>
      </w:r>
    </w:p>
    <w:p>
      <w:pPr>
        <w:pStyle w:val="ListBullet"/>
        <w:spacing w:after="60"/>
      </w:pPr>
      <w:r>
        <w:rPr>
          <w:sz w:val="21"/>
        </w:rPr>
        <w:t>Home: hero with summit name, date, venue and a Register button; about teaser; speakers grid with photos and titles; agenda timeline with day tabs; sponsors section with tiers; why-attend highlights; registration call-to-action.</w:t>
      </w:r>
    </w:p>
    <w:p>
      <w:pPr>
        <w:pStyle w:val="ListBullet"/>
        <w:spacing w:after="60"/>
      </w:pPr>
      <w:r>
        <w:rPr>
          <w:sz w:val="21"/>
        </w:rPr>
        <w:t>About the Summit: overview and objectives, themes and topics, organizers, venue, who should attend.</w:t>
      </w:r>
    </w:p>
    <w:p>
      <w:pPr>
        <w:pStyle w:val="ListBullet"/>
        <w:spacing w:after="60"/>
      </w:pPr>
      <w:r>
        <w:rPr>
          <w:sz w:val="21"/>
        </w:rPr>
        <w:t>Registration: bilingual registration form (name, organization, job title, email, phone, attendee type) with confirmation message and confirmation email.</w:t>
      </w:r>
    </w:p>
    <w:p>
      <w:pPr>
        <w:pStyle w:val="ListBullet"/>
        <w:spacing w:after="60"/>
      </w:pPr>
      <w:r>
        <w:rPr>
          <w:sz w:val="21"/>
        </w:rPr>
        <w:t>Contact Us: contact form, organizer details, venue map, social media links.</w:t>
      </w:r>
    </w:p>
    <w:p>
      <w:pPr>
        <w:pStyle w:val="Heading1"/>
        <w:spacing w:before="280" w:after="140"/>
      </w:pPr>
      <w:r>
        <w:rPr>
          <w:rFonts w:ascii="Calibri" w:hAnsi="Calibri"/>
          <w:b/>
          <w:color w:val="1F3864"/>
          <w:sz w:val="26"/>
        </w:rPr>
        <w:t>3. Summit Registration System</w:t>
      </w:r>
    </w:p>
    <w:p>
      <w:pPr>
        <w:spacing w:after="120"/>
      </w:pPr>
      <w:r>
        <w:rPr>
          <w:b w:val="0"/>
          <w:i w:val="0"/>
          <w:sz w:val="21"/>
        </w:rPr>
        <w:t>Included in both packages. Registrations are stored securely in a database and managed through a private admin dashboard:</w:t>
      </w:r>
    </w:p>
    <w:p>
      <w:pPr>
        <w:pStyle w:val="ListBullet"/>
        <w:spacing w:after="60"/>
      </w:pPr>
      <w:r>
        <w:rPr>
          <w:sz w:val="21"/>
        </w:rPr>
        <w:t>Secure administrator login.</w:t>
      </w:r>
    </w:p>
    <w:p>
      <w:pPr>
        <w:pStyle w:val="ListBullet"/>
        <w:spacing w:after="60"/>
      </w:pPr>
      <w:r>
        <w:rPr>
          <w:sz w:val="21"/>
        </w:rPr>
        <w:t>Live list of all registrations with total counts.</w:t>
      </w:r>
    </w:p>
    <w:p>
      <w:pPr>
        <w:pStyle w:val="ListBullet"/>
        <w:spacing w:after="60"/>
      </w:pPr>
      <w:r>
        <w:rPr>
          <w:sz w:val="21"/>
        </w:rPr>
        <w:t>One-click export to CSV/Excel — ready for badge printing, check-in lists, and sponsor reporting.</w:t>
      </w:r>
    </w:p>
    <w:p>
      <w:pPr>
        <w:pStyle w:val="ListBullet"/>
        <w:spacing w:after="60"/>
      </w:pPr>
      <w:r>
        <w:rPr>
          <w:sz w:val="21"/>
        </w:rPr>
        <w:t>Automatic confirmation email to each registrant, with professional email deliverability setup (SPF/DKIM) so confirmations reach Gmail and corporate inboxes.</w:t>
      </w:r>
    </w:p>
    <w:p>
      <w:pPr>
        <w:pStyle w:val="ListBullet"/>
        <w:spacing w:after="60"/>
      </w:pPr>
      <w:r>
        <w:rPr>
          <w:sz w:val="21"/>
        </w:rPr>
        <w:t>Anti-spam protection on all public forms across the three sites.</w:t>
      </w:r>
    </w:p>
    <w:p>
      <w:pPr>
        <w:pStyle w:val="Heading1"/>
        <w:spacing w:before="280" w:after="140"/>
      </w:pPr>
      <w:r>
        <w:rPr>
          <w:rFonts w:ascii="Calibri" w:hAnsi="Calibri"/>
          <w:b/>
          <w:color w:val="1F3864"/>
          <w:sz w:val="26"/>
        </w:rPr>
        <w:t>4. Content Management Option</w:t>
      </w:r>
    </w:p>
    <w:p>
      <w:pPr>
        <w:spacing w:after="120"/>
      </w:pPr>
      <w:r>
        <w:rPr>
          <w:b w:val="0"/>
          <w:i w:val="0"/>
          <w:sz w:val="21"/>
        </w:rPr>
        <w:t>With the CMS option, your team edits website content directly in the browser — texts, images, and for the Summit: speakers, agenda entries, and sponsors — and changes go live within minutes. No technical knowledge is required.</w:t>
      </w:r>
    </w:p>
    <w:p>
      <w:pPr>
        <w:pStyle w:val="ListBullet"/>
        <w:spacing w:after="60"/>
      </w:pPr>
      <w:r>
        <w:rPr>
          <w:sz w:val="21"/>
        </w:rPr>
        <w:t>Each website receives its own fully independent CMS: separate logins, separate content, no shared administration between the three entities.</w:t>
      </w:r>
    </w:p>
    <w:p>
      <w:pPr>
        <w:pStyle w:val="ListBullet"/>
        <w:spacing w:after="60"/>
      </w:pPr>
      <w:r>
        <w:rPr>
          <w:sz w:val="21"/>
        </w:rPr>
        <w:t>No additional servers or monthly software fees are required for the CMS.</w:t>
      </w:r>
    </w:p>
    <w:p>
      <w:pPr>
        <w:pStyle w:val="ListBullet"/>
        <w:spacing w:after="60"/>
      </w:pPr>
      <w:r>
        <w:rPr>
          <w:sz w:val="21"/>
        </w:rPr>
        <w:t>The CMS can be added to any single site individually (for example, the Summit site only), or to all three.</w:t>
      </w:r>
    </w:p>
    <w:p>
      <w:pPr>
        <w:pStyle w:val="Heading1"/>
        <w:spacing w:before="280" w:after="140"/>
      </w:pPr>
      <w:r>
        <w:rPr>
          <w:rFonts w:ascii="Calibri" w:hAnsi="Calibri"/>
          <w:b/>
          <w:color w:val="1F3864"/>
          <w:sz w:val="26"/>
        </w:rPr>
        <w:t>5. Investment</w:t>
      </w:r>
    </w:p>
    <w:tbl>
      <w:tblPr>
        <w:tblStyle w:val="TableGrid"/>
        <w:tblW w:type="auto" w:w="0"/>
        <w:jc w:val="center"/>
        <w:tblLook w:firstColumn="1" w:firstRow="1" w:lastColumn="0" w:lastRow="0" w:noHBand="0" w:noVBand="1" w:val="04A0"/>
      </w:tblPr>
      <w:tblGrid>
        <w:gridCol w:w="3249"/>
        <w:gridCol w:w="3249"/>
        <w:gridCol w:w="3249"/>
      </w:tblGrid>
      <w:tr>
        <w:tc>
          <w:tcPr>
            <w:tcW w:type="dxa" w:w="5216"/>
            <w:shd w:val="clear" w:fill="1F3864"/>
          </w:tcPr>
          <w:p>
            <w:pPr>
              <w:spacing w:after="40" w:before="40"/>
            </w:pPr>
            <w:r/>
            <w:r>
              <w:rPr>
                <w:b/>
                <w:color w:val="FFFFFF"/>
                <w:sz w:val="21"/>
              </w:rPr>
              <w:t>Item</w:t>
            </w:r>
          </w:p>
        </w:tc>
        <w:tc>
          <w:tcPr>
            <w:tcW w:type="dxa" w:w="1928"/>
            <w:shd w:val="clear" w:fill="1F3864"/>
          </w:tcPr>
          <w:p>
            <w:pPr>
              <w:spacing w:after="40" w:before="40"/>
              <w:jc w:val="right"/>
            </w:pPr>
            <w:r/>
            <w:r>
              <w:rPr>
                <w:b/>
                <w:color w:val="FFFFFF"/>
                <w:sz w:val="21"/>
              </w:rPr>
              <w:t>Standard (LYD)</w:t>
            </w:r>
          </w:p>
        </w:tc>
        <w:tc>
          <w:tcPr>
            <w:tcW w:type="dxa" w:w="1928"/>
            <w:shd w:val="clear" w:fill="1F3864"/>
          </w:tcPr>
          <w:p>
            <w:pPr>
              <w:spacing w:after="40" w:before="40"/>
              <w:jc w:val="right"/>
            </w:pPr>
            <w:r/>
            <w:r>
              <w:rPr>
                <w:b/>
                <w:color w:val="FFFFFF"/>
                <w:sz w:val="21"/>
              </w:rPr>
              <w:t>CMS Option (LYD)</w:t>
            </w:r>
          </w:p>
        </w:tc>
      </w:tr>
      <w:tr>
        <w:tc>
          <w:tcPr>
            <w:tcW w:type="dxa" w:w="5216"/>
          </w:tcPr>
          <w:p>
            <w:pPr>
              <w:spacing w:after="40" w:before="40"/>
            </w:pPr>
            <w:r/>
            <w:r>
              <w:rPr>
                <w:b w:val="0"/>
                <w:sz w:val="21"/>
              </w:rPr>
              <w:t>EL PR &amp; Media Consultancy website — 4 pages, Arabic + English</w:t>
            </w:r>
          </w:p>
        </w:tc>
        <w:tc>
          <w:tcPr>
            <w:tcW w:type="dxa" w:w="1928"/>
          </w:tcPr>
          <w:p>
            <w:pPr>
              <w:spacing w:after="40" w:before="40"/>
              <w:jc w:val="right"/>
            </w:pPr>
            <w:r/>
            <w:r>
              <w:rPr>
                <w:b w:val="0"/>
                <w:sz w:val="21"/>
              </w:rPr>
              <w:t>7,000</w:t>
            </w:r>
          </w:p>
        </w:tc>
        <w:tc>
          <w:tcPr>
            <w:tcW w:type="dxa" w:w="1928"/>
          </w:tcPr>
          <w:p>
            <w:pPr>
              <w:spacing w:after="40" w:before="40"/>
              <w:jc w:val="right"/>
            </w:pPr>
            <w:r/>
            <w:r>
              <w:rPr>
                <w:b w:val="0"/>
                <w:sz w:val="21"/>
              </w:rPr>
              <w:t>+ 1,500</w:t>
            </w:r>
          </w:p>
        </w:tc>
      </w:tr>
      <w:tr>
        <w:tc>
          <w:tcPr>
            <w:tcW w:type="dxa" w:w="5216"/>
          </w:tcPr>
          <w:p>
            <w:pPr>
              <w:spacing w:after="40" w:before="40"/>
            </w:pPr>
            <w:r/>
            <w:r>
              <w:rPr>
                <w:b w:val="0"/>
                <w:sz w:val="21"/>
              </w:rPr>
              <w:t>Al Soura Media Services website — 4 pages, Arabic + English</w:t>
            </w:r>
          </w:p>
        </w:tc>
        <w:tc>
          <w:tcPr>
            <w:tcW w:type="dxa" w:w="1928"/>
          </w:tcPr>
          <w:p>
            <w:pPr>
              <w:spacing w:after="40" w:before="40"/>
              <w:jc w:val="right"/>
            </w:pPr>
            <w:r/>
            <w:r>
              <w:rPr>
                <w:b w:val="0"/>
                <w:sz w:val="21"/>
              </w:rPr>
              <w:t>7,000</w:t>
            </w:r>
          </w:p>
        </w:tc>
        <w:tc>
          <w:tcPr>
            <w:tcW w:type="dxa" w:w="1928"/>
          </w:tcPr>
          <w:p>
            <w:pPr>
              <w:spacing w:after="40" w:before="40"/>
              <w:jc w:val="right"/>
            </w:pPr>
            <w:r/>
            <w:r>
              <w:rPr>
                <w:b w:val="0"/>
                <w:sz w:val="21"/>
              </w:rPr>
              <w:t>+ 1,500</w:t>
            </w:r>
          </w:p>
        </w:tc>
      </w:tr>
      <w:tr>
        <w:tc>
          <w:tcPr>
            <w:tcW w:type="dxa" w:w="5216"/>
          </w:tcPr>
          <w:p>
            <w:pPr>
              <w:spacing w:after="40" w:before="40"/>
            </w:pPr>
            <w:r/>
            <w:r>
              <w:rPr>
                <w:b w:val="0"/>
                <w:sz w:val="21"/>
              </w:rPr>
              <w:t>Health Summit website — pages &amp; sections, Arabic + English</w:t>
            </w:r>
          </w:p>
        </w:tc>
        <w:tc>
          <w:tcPr>
            <w:tcW w:type="dxa" w:w="1928"/>
          </w:tcPr>
          <w:p>
            <w:pPr>
              <w:spacing w:after="40" w:before="40"/>
              <w:jc w:val="right"/>
            </w:pPr>
            <w:r/>
            <w:r>
              <w:rPr>
                <w:b w:val="0"/>
                <w:sz w:val="21"/>
              </w:rPr>
              <w:t>9,500</w:t>
            </w:r>
          </w:p>
        </w:tc>
        <w:tc>
          <w:tcPr>
            <w:tcW w:type="dxa" w:w="1928"/>
          </w:tcPr>
          <w:p>
            <w:pPr>
              <w:spacing w:after="40" w:before="40"/>
              <w:jc w:val="right"/>
            </w:pPr>
            <w:r/>
            <w:r>
              <w:rPr>
                <w:b w:val="0"/>
                <w:sz w:val="21"/>
              </w:rPr>
              <w:t>+ 2,000</w:t>
            </w:r>
          </w:p>
        </w:tc>
      </w:tr>
      <w:tr>
        <w:tc>
          <w:tcPr>
            <w:tcW w:type="dxa" w:w="5216"/>
          </w:tcPr>
          <w:p>
            <w:pPr>
              <w:spacing w:after="40" w:before="40"/>
            </w:pPr>
            <w:r/>
            <w:r>
              <w:rPr>
                <w:b w:val="0"/>
                <w:sz w:val="21"/>
              </w:rPr>
              <w:t>Summit online registration form (bilingual, validated)</w:t>
            </w:r>
          </w:p>
        </w:tc>
        <w:tc>
          <w:tcPr>
            <w:tcW w:type="dxa" w:w="1928"/>
          </w:tcPr>
          <w:p>
            <w:pPr>
              <w:spacing w:after="40" w:before="40"/>
              <w:jc w:val="right"/>
            </w:pPr>
            <w:r/>
            <w:r>
              <w:rPr>
                <w:b w:val="0"/>
                <w:sz w:val="21"/>
              </w:rPr>
              <w:t>2,000</w:t>
            </w:r>
          </w:p>
        </w:tc>
        <w:tc>
          <w:tcPr>
            <w:tcW w:type="dxa" w:w="1928"/>
          </w:tcPr>
          <w:p>
            <w:pPr>
              <w:spacing w:after="40" w:before="40"/>
              <w:jc w:val="right"/>
            </w:pPr>
            <w:r/>
            <w:r>
              <w:rPr>
                <w:b w:val="0"/>
                <w:sz w:val="21"/>
              </w:rPr>
              <w:t>—</w:t>
            </w:r>
          </w:p>
        </w:tc>
      </w:tr>
      <w:tr>
        <w:tc>
          <w:tcPr>
            <w:tcW w:type="dxa" w:w="5216"/>
          </w:tcPr>
          <w:p>
            <w:pPr>
              <w:spacing w:after="40" w:before="40"/>
            </w:pPr>
            <w:r/>
            <w:r>
              <w:rPr>
                <w:b w:val="0"/>
                <w:sz w:val="21"/>
              </w:rPr>
              <w:t>Summit admin dashboard — secure login, registrations database, CSV export</w:t>
            </w:r>
          </w:p>
        </w:tc>
        <w:tc>
          <w:tcPr>
            <w:tcW w:type="dxa" w:w="1928"/>
          </w:tcPr>
          <w:p>
            <w:pPr>
              <w:spacing w:after="40" w:before="40"/>
              <w:jc w:val="right"/>
            </w:pPr>
            <w:r/>
            <w:r>
              <w:rPr>
                <w:b w:val="0"/>
                <w:sz w:val="21"/>
              </w:rPr>
              <w:t>4,500</w:t>
            </w:r>
          </w:p>
        </w:tc>
        <w:tc>
          <w:tcPr>
            <w:tcW w:type="dxa" w:w="1928"/>
          </w:tcPr>
          <w:p>
            <w:pPr>
              <w:spacing w:after="40" w:before="40"/>
              <w:jc w:val="right"/>
            </w:pPr>
            <w:r/>
            <w:r>
              <w:rPr>
                <w:b w:val="0"/>
                <w:sz w:val="21"/>
              </w:rPr>
              <w:t>—</w:t>
            </w:r>
          </w:p>
        </w:tc>
      </w:tr>
      <w:tr>
        <w:tc>
          <w:tcPr>
            <w:tcW w:type="dxa" w:w="5216"/>
            <w:shd w:val="clear" w:fill="D9E2F3"/>
          </w:tcPr>
          <w:p>
            <w:pPr>
              <w:spacing w:after="40" w:before="40"/>
            </w:pPr>
            <w:r/>
            <w:r>
              <w:rPr>
                <w:b/>
                <w:sz w:val="21"/>
              </w:rPr>
              <w:t>Total</w:t>
            </w:r>
          </w:p>
        </w:tc>
        <w:tc>
          <w:tcPr>
            <w:tcW w:type="dxa" w:w="1928"/>
            <w:shd w:val="clear" w:fill="D9E2F3"/>
          </w:tcPr>
          <w:p>
            <w:pPr>
              <w:spacing w:after="40" w:before="40"/>
              <w:jc w:val="right"/>
            </w:pPr>
            <w:r/>
            <w:r>
              <w:rPr>
                <w:b/>
                <w:sz w:val="21"/>
              </w:rPr>
              <w:t>30,000</w:t>
            </w:r>
          </w:p>
        </w:tc>
        <w:tc>
          <w:tcPr>
            <w:tcW w:type="dxa" w:w="1928"/>
            <w:shd w:val="clear" w:fill="D9E2F3"/>
          </w:tcPr>
          <w:p>
            <w:pPr>
              <w:spacing w:after="40" w:before="40"/>
              <w:jc w:val="right"/>
            </w:pPr>
            <w:r/>
            <w:r>
              <w:rPr>
                <w:b/>
                <w:sz w:val="21"/>
              </w:rPr>
              <w:t>35,000</w:t>
            </w:r>
          </w:p>
        </w:tc>
      </w:tr>
    </w:tbl>
    <w:p>
      <w:pPr>
        <w:spacing w:after="60"/>
      </w:pPr>
    </w:p>
    <w:p>
      <w:pPr>
        <w:spacing w:after="120"/>
      </w:pPr>
      <w:r>
        <w:rPr>
          <w:b w:val="0"/>
          <w:i w:val="0"/>
          <w:sz w:val="21"/>
        </w:rPr>
        <w:t>The CMS option column shows the price per site; add it for any individual site or for all three (all three: 35,000 LYD total).</w:t>
      </w:r>
    </w:p>
    <w:p>
      <w:pPr>
        <w:pStyle w:val="Heading2"/>
        <w:spacing w:before="200" w:after="100"/>
      </w:pPr>
      <w:r>
        <w:rPr>
          <w:rFonts w:ascii="Calibri" w:hAnsi="Calibri"/>
          <w:b/>
          <w:color w:val="1F3864"/>
          <w:sz w:val="22"/>
        </w:rPr>
        <w:t>Included at no additional charge</w:t>
      </w:r>
    </w:p>
    <w:p>
      <w:pPr>
        <w:pStyle w:val="ListBullet"/>
        <w:spacing w:after="60"/>
      </w:pPr>
      <w:r>
        <w:rPr>
          <w:sz w:val="21"/>
        </w:rPr>
        <w:t>Full Arabic + English versions of all three websites (right-to-left and left-to-right).</w:t>
      </w:r>
    </w:p>
    <w:p>
      <w:pPr>
        <w:pStyle w:val="ListBullet"/>
        <w:spacing w:after="60"/>
      </w:pPr>
      <w:r>
        <w:rPr>
          <w:sz w:val="21"/>
        </w:rPr>
        <w:t>3 months of technical support and maintenance (value: 1,500 LYD) — see Section 6.</w:t>
      </w:r>
    </w:p>
    <w:p>
      <w:pPr>
        <w:pStyle w:val="ListBullet"/>
        <w:spacing w:after="60"/>
      </w:pPr>
      <w:r>
        <w:rPr>
          <w:sz w:val="21"/>
        </w:rPr>
        <w:t>Light editing and structuring of the content you provide (up to 500 words per page).</w:t>
      </w:r>
    </w:p>
    <w:p>
      <w:pPr>
        <w:pStyle w:val="ListBullet"/>
        <w:spacing w:after="60"/>
      </w:pPr>
      <w:r>
        <w:rPr>
          <w:sz w:val="21"/>
        </w:rPr>
        <w:t>SSL certificates setup (secure https), analytics dashboard setup with client access, and search-engine-friendly structure.</w:t>
      </w:r>
    </w:p>
    <w:p>
      <w:pPr>
        <w:pStyle w:val="ListBullet"/>
        <w:spacing w:after="60"/>
      </w:pPr>
      <w:r>
        <w:rPr>
          <w:sz w:val="21"/>
        </w:rPr>
        <w:t>One design revision round per website.</w:t>
      </w:r>
    </w:p>
    <w:p>
      <w:pPr>
        <w:pStyle w:val="ListBullet"/>
        <w:spacing w:after="60"/>
      </w:pPr>
      <w:r>
        <w:rPr>
          <w:sz w:val="21"/>
        </w:rPr>
        <w:t>Complete deployment, domain/DNS configuration, and launch on your hosting accounts.</w:t>
      </w:r>
    </w:p>
    <w:p>
      <w:pPr>
        <w:pStyle w:val="Heading1"/>
        <w:spacing w:before="280" w:after="140"/>
      </w:pPr>
      <w:r>
        <w:rPr>
          <w:rFonts w:ascii="Calibri" w:hAnsi="Calibri"/>
          <w:b/>
          <w:color w:val="1F3864"/>
          <w:sz w:val="26"/>
        </w:rPr>
        <w:t>6. Support &amp; Maintenance</w:t>
      </w:r>
    </w:p>
    <w:p>
      <w:pPr>
        <w:spacing w:after="120"/>
      </w:pPr>
      <w:r>
        <w:rPr>
          <w:b w:val="0"/>
          <w:i w:val="0"/>
          <w:sz w:val="21"/>
        </w:rPr>
        <w:t>For 3 months after launch, free of charge: uptime monitoring, bug fixes, security updates, weekly backups, and up to 2 small content-change requests per month.</w:t>
      </w:r>
    </w:p>
    <w:p>
      <w:pPr>
        <w:spacing w:after="120"/>
      </w:pPr>
      <w:r>
        <w:rPr>
          <w:b w:val="0"/>
          <w:i w:val="0"/>
          <w:sz w:val="21"/>
        </w:rPr>
        <w:t>After the free period, support for all three websites continues at 500 LYD/month with the same scope. This is optional and renewable monthly.</w:t>
      </w:r>
    </w:p>
    <w:p>
      <w:pPr>
        <w:pStyle w:val="Heading1"/>
        <w:spacing w:before="280" w:after="140"/>
      </w:pPr>
      <w:r>
        <w:rPr>
          <w:rFonts w:ascii="Calibri" w:hAnsi="Calibri"/>
          <w:b/>
          <w:color w:val="1F3864"/>
          <w:sz w:val="26"/>
        </w:rPr>
        <w:t>7. Hosting &amp; Domains (arranged by client)</w:t>
      </w:r>
    </w:p>
    <w:p>
      <w:pPr>
        <w:spacing w:after="120"/>
      </w:pPr>
      <w:r>
        <w:rPr>
          <w:b w:val="0"/>
          <w:i w:val="0"/>
          <w:sz w:val="21"/>
        </w:rPr>
        <w:t>Domain registration and hosting are purchased directly by you and registered in your name — this guarantees your full ownership and control. All technical setup, configuration, and deployment on your accounts is included in our price. For reference:</w:t>
      </w:r>
    </w:p>
    <w:p>
      <w:pPr>
        <w:pStyle w:val="ListBullet"/>
        <w:spacing w:after="60"/>
      </w:pPr>
      <w:r>
        <w:rPr>
          <w:sz w:val="21"/>
        </w:rPr>
        <w:t>alsoura.ly and healthsummit.ly: registered by you (we assist with the process); elprmedia.co.uk is already owned — we configure it.</w:t>
      </w:r>
    </w:p>
    <w:p>
      <w:pPr>
        <w:pStyle w:val="ListBullet"/>
        <w:spacing w:after="60"/>
      </w:pPr>
      <w:r>
        <w:rPr>
          <w:sz w:val="21"/>
        </w:rPr>
        <w:t xml:space="preserve">Recommended hosting: one Libyan Spider Linux VPS (“Araneae” — 2 vCPU / 4 GB RAM / 40 GB NVMe) carries all three websites and the registration system: </w:t>
      </w:r>
      <w:hyperlink r:id="rId9">
        <w:r>
          <w:rPr>
            <w:color w:val="0563C1"/>
            <w:u w:val="single"/>
            <w:sz w:val="21"/>
          </w:rPr>
          <w:t>libyanspider.com/virtual-private-servers</w:t>
        </w:r>
      </w:hyperlink>
    </w:p>
    <w:p>
      <w:pPr>
        <w:pStyle w:val="ListBullet"/>
        <w:spacing w:after="60"/>
      </w:pPr>
      <w:r>
        <w:rPr>
          <w:sz w:val="21"/>
        </w:rPr>
        <w:t xml:space="preserve">Alternative (pay-as-you-use, with a Tripoli data-center option — your Summit data hosted inside Libya): </w:t>
      </w:r>
      <w:hyperlink r:id="rId10">
        <w:r>
          <w:rPr>
            <w:color w:val="0563C1"/>
            <w:u w:val="single"/>
            <w:sz w:val="21"/>
          </w:rPr>
          <w:t>libyanspider.com/jpaas</w:t>
        </w:r>
      </w:hyperlink>
    </w:p>
    <w:p>
      <w:pPr>
        <w:pStyle w:val="ListBullet"/>
        <w:spacing w:after="60"/>
      </w:pPr>
      <w:r>
        <w:rPr>
          <w:sz w:val="21"/>
        </w:rPr>
        <w:t>Yearly domain and hosting renewals are billed by the provider directly to you at their list prices.</w:t>
      </w:r>
    </w:p>
    <w:p>
      <w:pPr>
        <w:pStyle w:val="Heading1"/>
        <w:spacing w:before="280" w:after="140"/>
      </w:pPr>
      <w:r>
        <w:rPr>
          <w:rFonts w:ascii="Calibri" w:hAnsi="Calibri"/>
          <w:b/>
          <w:color w:val="1F3864"/>
          <w:sz w:val="26"/>
        </w:rPr>
        <w:t>8. Timeline</w:t>
      </w:r>
    </w:p>
    <w:p>
      <w:pPr>
        <w:spacing w:after="120"/>
      </w:pPr>
      <w:r>
        <w:rPr>
          <w:b w:val="0"/>
          <w:i w:val="0"/>
          <w:sz w:val="21"/>
        </w:rPr>
        <w:t>All three websites are delivered within 6–8 weeks of signing, with the Summit website prioritized first. Design and development proceed with professional placeholder content, so the timeline does not depend on final texts — your content is merged as soon as it is received.</w:t>
      </w:r>
    </w:p>
    <w:p>
      <w:pPr>
        <w:pStyle w:val="Heading1"/>
        <w:spacing w:before="280" w:after="140"/>
      </w:pPr>
      <w:r>
        <w:rPr>
          <w:rFonts w:ascii="Calibri" w:hAnsi="Calibri"/>
          <w:b/>
          <w:color w:val="1F3864"/>
          <w:sz w:val="26"/>
        </w:rPr>
        <w:t>9. Payment Terms</w:t>
      </w:r>
    </w:p>
    <w:p>
      <w:pPr>
        <w:pStyle w:val="ListBullet"/>
        <w:spacing w:after="60"/>
      </w:pPr>
      <w:r>
        <w:rPr>
          <w:sz w:val="21"/>
        </w:rPr>
        <w:t>40% upon signing — project start.</w:t>
      </w:r>
    </w:p>
    <w:p>
      <w:pPr>
        <w:pStyle w:val="ListBullet"/>
        <w:spacing w:after="60"/>
      </w:pPr>
      <w:r>
        <w:rPr>
          <w:sz w:val="21"/>
        </w:rPr>
        <w:t>40% upon your approval of the completed websites (with placeholder content where final content is pending).</w:t>
      </w:r>
    </w:p>
    <w:p>
      <w:pPr>
        <w:pStyle w:val="ListBullet"/>
        <w:spacing w:after="60"/>
      </w:pPr>
      <w:r>
        <w:rPr>
          <w:sz w:val="21"/>
        </w:rPr>
        <w:t>20% upon launch. If launch is delayed by pending content for more than 30 days after completion, the final payment becomes due.</w:t>
      </w:r>
    </w:p>
    <w:p>
      <w:pPr>
        <w:pStyle w:val="ListBullet"/>
        <w:spacing w:after="60"/>
      </w:pPr>
      <w:r>
        <w:rPr>
          <w:sz w:val="21"/>
        </w:rPr>
        <w:t>Milestone approvals not answered within 7 days are considered approved, to protect the timeline.</w:t>
      </w:r>
    </w:p>
    <w:p>
      <w:pPr>
        <w:pStyle w:val="Heading1"/>
        <w:spacing w:before="280" w:after="140"/>
      </w:pPr>
      <w:r>
        <w:rPr>
          <w:rFonts w:ascii="Calibri" w:hAnsi="Calibri"/>
          <w:b/>
          <w:color w:val="1F3864"/>
          <w:sz w:val="26"/>
        </w:rPr>
        <w:t>10. Assumptions &amp; Terms</w:t>
      </w:r>
    </w:p>
    <w:p>
      <w:pPr>
        <w:pStyle w:val="ListBullet"/>
        <w:spacing w:after="60"/>
      </w:pPr>
      <w:r>
        <w:rPr>
          <w:sz w:val="21"/>
        </w:rPr>
        <w:t>Final texts, images, logos, and brand assets are provided by the client; light editing up to 500 words per page is included.</w:t>
      </w:r>
    </w:p>
    <w:p>
      <w:pPr>
        <w:pStyle w:val="ListBullet"/>
        <w:spacing w:after="60"/>
      </w:pPr>
      <w:r>
        <w:rPr>
          <w:sz w:val="21"/>
        </w:rPr>
        <w:t>Initial data entry included: up to 20 speakers, a 2-day agenda, and 3 sponsor tiers on the Summit site. Larger volumes are handled via the CMS option or as change requests.</w:t>
      </w:r>
    </w:p>
    <w:p>
      <w:pPr>
        <w:pStyle w:val="ListBullet"/>
        <w:spacing w:after="60"/>
      </w:pPr>
      <w:r>
        <w:rPr>
          <w:sz w:val="21"/>
        </w:rPr>
        <w:t>One consolidated design revision round per website is included (a single set of change requests after the design presentation); additional rounds are quoted separately.</w:t>
      </w:r>
    </w:p>
    <w:p>
      <w:pPr>
        <w:pStyle w:val="ListBullet"/>
        <w:spacing w:after="60"/>
      </w:pPr>
      <w:r>
        <w:rPr>
          <w:sz w:val="21"/>
        </w:rPr>
        <w:t>Analytics: dashboard setup with client viewer access is included; prepared or interpreted reports are handled as change requests.</w:t>
      </w:r>
    </w:p>
    <w:p>
      <w:pPr>
        <w:pStyle w:val="ListBullet"/>
        <w:spacing w:after="60"/>
      </w:pPr>
      <w:r>
        <w:rPr>
          <w:sz w:val="21"/>
        </w:rPr>
        <w:t>All domains and hosting accounts are registered in the client's name. Full source code ownership transfers to the client upon final payment.</w:t>
      </w:r>
    </w:p>
    <w:p>
      <w:pPr>
        <w:pStyle w:val="ListBullet"/>
        <w:spacing w:after="60"/>
      </w:pPr>
      <w:r>
        <w:rPr>
          <w:sz w:val="21"/>
        </w:rPr>
        <w:t>This offer is valid for 30 days from the date above. Prices are for development services only; third-party costs (domains, hosting) are paid by the client directly to the provider.</w:t>
      </w:r>
    </w:p>
    <w:p>
      <w:pPr>
        <w:spacing w:after="120"/>
      </w:pPr>
    </w:p>
    <w:p>
      <w:pPr>
        <w:spacing w:after="120"/>
      </w:pPr>
      <w:r>
        <w:rPr>
          <w:b w:val="0"/>
          <w:i/>
          <w:color w:val="595959"/>
          <w:sz w:val="21"/>
        </w:rPr>
        <w:t>We look forward to building three websites that represent your brands with the quality they deserve.</w:t>
      </w:r>
    </w:p>
    <w:sectPr w:rsidR="00FC693F" w:rsidRPr="0006063C" w:rsidSect="00034616">
      <w:pgSz w:w="12240" w:h="15840"/>
      <w:pgMar w:top="1077" w:right="1247" w:bottom="107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libyanspider.com/virtual-private-servers/" TargetMode="External"/><Relationship Id="rId10" Type="http://schemas.openxmlformats.org/officeDocument/2006/relationships/hyperlink" Target="https://libyanspider.com/jpa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