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360" w:firstLine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Lab Manual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spacing w:before="0" w:lineRule="auto"/>
        <w:ind w:left="3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Run basic TCL commands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spacing w:before="0" w:lineRule="auto"/>
        <w:ind w:left="3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Introduction to NS-2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spacing w:before="0" w:lineRule="auto"/>
        <w:ind w:left="3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Simulate a basic topology</w:t>
      </w:r>
    </w:p>
    <w:p w:rsidR="00000000" w:rsidDel="00000000" w:rsidP="00000000" w:rsidRDefault="00000000" w:rsidRPr="00000000" w14:paraId="00000007">
      <w:pPr>
        <w:pStyle w:val="Heading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u w:val="single"/>
          <w:rtl w:val="0"/>
        </w:rPr>
        <w:t xml:space="preserve">Basics of the TCL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Tcl and Otcl Programming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Tcl( Tool Command Language) is a language with a very simple syntax and it allows easy integration with other languages. The characteristics of this language are: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709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 allows a faster development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709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 provides a graphical interface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709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 is compatible with many platforms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709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 is easy to use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Basics of Tcl and Otcl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709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Assigning a value to a variable depends 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” command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set b 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” is equivalent to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b=0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”, the set command is irrespective of datatypei.e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 b=0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” is equivalent to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set b 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” and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double pi=3.142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” is equivalent to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set pi 3.142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”. In Tcl variables are not typed. A variable can be an integer, double or string depending on the value you assign to it.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709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we want to use a value assigned to a variable we should use a $ sign before it.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4.0" w:type="dxa"/>
        <w:jc w:val="left"/>
        <w:tblInd w:w="846.0000000000001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353"/>
        <w:gridCol w:w="6161"/>
        <w:tblGridChange w:id="0">
          <w:tblGrid>
            <w:gridCol w:w="2353"/>
            <w:gridCol w:w="61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int a=20;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int 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b=a;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set a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set b $a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709"/>
        </w:tabs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 display an output the command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puts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” is used.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4.0" w:type="dxa"/>
        <w:jc w:val="left"/>
        <w:tblInd w:w="846.0000000000001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426"/>
        <w:gridCol w:w="6088"/>
        <w:tblGridChange w:id="0">
          <w:tblGrid>
            <w:gridCol w:w="2426"/>
            <w:gridCol w:w="60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int x=67;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cout&lt;&lt;x;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set x 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puts “x $x”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709"/>
        </w:tabs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 take input in a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gets stdin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is used</w:t>
      </w:r>
    </w:p>
    <w:tbl>
      <w:tblPr>
        <w:tblStyle w:val="Table3"/>
        <w:tblW w:w="8514.0" w:type="dxa"/>
        <w:jc w:val="left"/>
        <w:tblInd w:w="846.0000000000001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373"/>
        <w:gridCol w:w="6141"/>
        <w:tblGridChange w:id="0">
          <w:tblGrid>
            <w:gridCol w:w="2373"/>
            <w:gridCol w:w="61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int 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cin&gt;&gt;x;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set x [gets stdin]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709"/>
        </w:tabs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sign #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starts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a commented line that is not part of theprogram,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so the tcl interpreter will not execute this line.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pos="709"/>
        </w:tabs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 mathematical operation is done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the expression command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For example we wish to assign to a variable x the sum of values of a and b, we should write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set x [expr $a + $b]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14.0" w:type="dxa"/>
        <w:jc w:val="left"/>
        <w:tblInd w:w="846.0000000000001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216"/>
        <w:gridCol w:w="6298"/>
        <w:tblGridChange w:id="0">
          <w:tblGrid>
            <w:gridCol w:w="2216"/>
            <w:gridCol w:w="62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x=a+b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set x [expr $a + $b]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pos="709"/>
        </w:tabs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structure of an if command is as follows: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if {expression }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&lt;execute some commands&gt;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&lt;execute some commands&gt;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5"/>
        <w:tblW w:w="8514.0" w:type="dxa"/>
        <w:jc w:val="left"/>
        <w:tblInd w:w="846.0000000000001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285"/>
        <w:gridCol w:w="6229"/>
        <w:tblGridChange w:id="0">
          <w:tblGrid>
            <w:gridCol w:w="2285"/>
            <w:gridCol w:w="6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If(x&lt;2)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cout&lt;&lt;”x is lesser”;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else cout&lt;&lt;”x is greater”;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if {$x &lt; 2}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puts “x is lesser”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else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puts “x is greater”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if command can be nested within other if and else that can appear in the &lt;execute some commands&gt; part. When testing equality we should use ==. Inequality is written with !=.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tabs>
          <w:tab w:val="left" w:pos="709"/>
        </w:tabs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Loops have the following form: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for {set i 0} {$i &lt; 5} { incr i}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&lt;execute some commands&gt;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6"/>
        <w:tblW w:w="8963.0" w:type="dxa"/>
        <w:jc w:val="left"/>
        <w:tblInd w:w="397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276"/>
        <w:gridCol w:w="6687"/>
        <w:tblGridChange w:id="0">
          <w:tblGrid>
            <w:gridCol w:w="2276"/>
            <w:gridCol w:w="66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for (int x=0; x&lt;5; x++)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{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for {set x 0} {$x &lt; 5} {incr x}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b05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Steps for compiling tcl code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lineRule="auto"/>
        <w:ind w:left="72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your tcl code on Desktop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filename.tcl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tabs>
          <w:tab w:val="left" w:pos="709"/>
        </w:tabs>
        <w:spacing w:after="0" w:lineRule="auto"/>
        <w:ind w:left="720" w:firstLine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Open terminal (go to Desktop), 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ns filename.tcl[]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09"/>
        </w:tabs>
        <w:spacing w:after="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In Lab Statement 1:</w:t>
        <w:tab/>
        <w:tab/>
        <w:tab/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061">
      <w:pPr>
        <w:tabs>
          <w:tab w:val="left" w:pos="709"/>
        </w:tabs>
        <w:spacing w:after="0" w:lineRule="auto"/>
        <w:rPr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Write a TCL Script that will take a number from user (user will give you a number greater than 4):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If the number is even then you will print all even integers (starting from 4) until that number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If the number is odd then you will print all the odd integers (starting from 3) until that number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f54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u w:val="single"/>
          <w:rtl w:val="0"/>
        </w:rPr>
        <w:t xml:space="preserve">INTRODUCTION TO NS-2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Network Simulator-2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 NS Simulator starts with the following command: 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set ns [new Simulator]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order to have output files for visualizations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files) we need to create files using open command: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# opennam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setnf [open out.nam w]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$ns namtrace-all 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termination of the program is done using the finish procedure: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# define a finish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proc finish {} {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global ns nf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       $ns flush-trace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close $nf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execnamout.nam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exit 0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We should call the procedure finish at the end of the ns program and specify at what time the termination should occur. For example: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$ns at 5.0 “finish”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This command will be used to call finish at 5.0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simulation can begin by using the following command. This command should be the last line of the code. 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$ns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709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709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09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09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09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Demo Codes:</w:t>
      </w:r>
    </w:p>
    <w:p w:rsidR="00000000" w:rsidDel="00000000" w:rsidP="00000000" w:rsidRDefault="00000000" w:rsidRPr="00000000" w14:paraId="00000086">
      <w:pPr>
        <w:tabs>
          <w:tab w:val="left" w:pos="709"/>
        </w:tabs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You are provided with two demo codes in which two nodes are linked to each other and data is being sent from one node to other node. One code uses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UDP and CBR for data transfer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and other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code uses TCP and FTP for data transfer.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Go through the slides and codes and implement the In Lab statement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709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In lab Statement 2:</w:t>
        <w:tab/>
        <w:tab/>
        <w:tab/>
        <w:tab/>
        <w:tab/>
        <w:tab/>
        <w:tab/>
        <w:tab/>
        <w:tab/>
        <w:tab/>
        <w:t xml:space="preserve">[15]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Write tcl script to implement the simple network shown in the figure below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network consists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4 nodes (n0, n1, n2, n3)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duplex links between n0 and n2, and n1 and n2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have 2 Mbps of bandwidth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10 ms of delay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duplex link between n2 and n3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1.7 Mbps of bandwidth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20 ms of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Each node uses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DropTail 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of which the maximum size is 10. You will have to orient the nodes as shown in the diagram below.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"tcp" agent is attached to n1, and a connection is established to a tcp "sink" agent attached to n3.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tcp "sink" agent generates and sends ACK packets to the sender (tcp agent) and frees the received packets.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"udp" agent that is attached to n0 is connected to a "null" agent attached to n3. A "null" agent just frees the packets received.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a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cbr" traffic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generator are attached to "tcp" and "udp" agents respectively, and the "cbr" is configured to generate packets having size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  <w:rtl w:val="0"/>
        </w:rPr>
        <w:t xml:space="preserve">1 Kbytesat the rate of 100 packets per second.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 will control the traffic automatically according to the throttle mechanism in TCP.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traffic flow of UDP must be colored 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traffic flow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TCP must be colored blue.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"cbr" is set to start at 0.1 sec and stop at 4.5 sec,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"ftp" is set to start at 0.5 sec and stop at 4.0 sec.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169578" cy="2544792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122" l="0" r="240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lowerRoman"/>
      <w:lvlText w:val="■.%3."/>
      <w:lvlJc w:val="right"/>
      <w:pPr>
        <w:ind w:left="2160" w:firstLine="1980"/>
      </w:pPr>
      <w:rPr/>
    </w:lvl>
    <w:lvl w:ilvl="3">
      <w:start w:val="1"/>
      <w:numFmt w:val="decimal"/>
      <w:lvlText w:val="■.%3.%4."/>
      <w:lvlJc w:val="left"/>
      <w:pPr>
        <w:ind w:left="2880" w:firstLine="2520"/>
      </w:pPr>
      <w:rPr/>
    </w:lvl>
    <w:lvl w:ilvl="4">
      <w:start w:val="1"/>
      <w:numFmt w:val="lowerLetter"/>
      <w:lvlText w:val="■.%3.%4.%5."/>
      <w:lvlJc w:val="left"/>
      <w:pPr>
        <w:ind w:left="3600" w:firstLine="3240"/>
      </w:pPr>
      <w:rPr/>
    </w:lvl>
    <w:lvl w:ilvl="5">
      <w:start w:val="1"/>
      <w:numFmt w:val="lowerRoman"/>
      <w:lvlText w:val="■.%3.%4.%5.%6."/>
      <w:lvlJc w:val="right"/>
      <w:pPr>
        <w:ind w:left="4320" w:firstLine="4140"/>
      </w:pPr>
      <w:rPr/>
    </w:lvl>
    <w:lvl w:ilvl="6">
      <w:start w:val="1"/>
      <w:numFmt w:val="decimal"/>
      <w:lvlText w:val="■.%3.%4.%5.%6.%7."/>
      <w:lvlJc w:val="left"/>
      <w:pPr>
        <w:ind w:left="5040" w:firstLine="4680"/>
      </w:pPr>
      <w:rPr/>
    </w:lvl>
    <w:lvl w:ilvl="7">
      <w:start w:val="1"/>
      <w:numFmt w:val="lowerLetter"/>
      <w:lvlText w:val="■.%3.%4.%5.%6.%7.%8."/>
      <w:lvlJc w:val="left"/>
      <w:pPr>
        <w:ind w:left="5760" w:firstLine="5400"/>
      </w:pPr>
      <w:rPr/>
    </w:lvl>
    <w:lvl w:ilvl="8">
      <w:start w:val="1"/>
      <w:numFmt w:val="lowerRoman"/>
      <w:lvlText w:val="■.%3.%4.%5.%6.%7.%8.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2.%3."/>
      <w:lvlJc w:val="right"/>
      <w:pPr>
        <w:ind w:left="2160" w:firstLine="1980"/>
      </w:pPr>
      <w:rPr/>
    </w:lvl>
    <w:lvl w:ilvl="3">
      <w:start w:val="1"/>
      <w:numFmt w:val="decimal"/>
      <w:lvlText w:val="%2.%3.%4."/>
      <w:lvlJc w:val="left"/>
      <w:pPr>
        <w:ind w:left="2880" w:firstLine="2520"/>
      </w:pPr>
      <w:rPr/>
    </w:lvl>
    <w:lvl w:ilvl="4">
      <w:start w:val="1"/>
      <w:numFmt w:val="lowerLetter"/>
      <w:lvlText w:val="%2.%3.%4.%5."/>
      <w:lvlJc w:val="left"/>
      <w:pPr>
        <w:ind w:left="3600" w:firstLine="3240"/>
      </w:pPr>
      <w:rPr/>
    </w:lvl>
    <w:lvl w:ilvl="5">
      <w:start w:val="1"/>
      <w:numFmt w:val="lowerRoman"/>
      <w:lvlText w:val="%2.%3.%4.%5.%6."/>
      <w:lvlJc w:val="right"/>
      <w:pPr>
        <w:ind w:left="4320" w:firstLine="4140"/>
      </w:pPr>
      <w:rPr/>
    </w:lvl>
    <w:lvl w:ilvl="6">
      <w:start w:val="1"/>
      <w:numFmt w:val="decimal"/>
      <w:lvlText w:val="%2.%3.%4.%5.%6.%7."/>
      <w:lvlJc w:val="left"/>
      <w:pPr>
        <w:ind w:left="5040" w:firstLine="4680"/>
      </w:pPr>
      <w:rPr/>
    </w:lvl>
    <w:lvl w:ilvl="7">
      <w:start w:val="1"/>
      <w:numFmt w:val="lowerLetter"/>
      <w:lvlText w:val="%2.%3.%4.%5.%6.%7.%8."/>
      <w:lvlJc w:val="left"/>
      <w:pPr>
        <w:ind w:left="5760" w:firstLine="5400"/>
      </w:pPr>
      <w:rPr/>
    </w:lvl>
    <w:lvl w:ilvl="8">
      <w:start w:val="1"/>
      <w:numFmt w:val="lowerRoman"/>
      <w:lvlText w:val="%2.%3.%4.%5.%6.%7.%8.%9."/>
      <w:lvlJc w:val="right"/>
      <w:pPr>
        <w:ind w:left="6480" w:firstLine="63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qFormat w:val="1"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0168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01682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01682"/>
    <w:pPr>
      <w:pBdr>
        <w:bottom w:color="5b9bd5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01682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paragraph" w:styleId="Normal1" w:customStyle="1">
    <w:name w:val="Normal1"/>
    <w:rsid w:val="00E65A42"/>
    <w:pPr>
      <w:spacing w:after="200" w:line="276" w:lineRule="auto"/>
    </w:pPr>
    <w:rPr>
      <w:rFonts w:ascii="Calibri" w:cs="Calibri" w:eastAsia="Calibri" w:hAnsi="Calibri"/>
      <w:color w:val="000000"/>
      <w:sz w:val="22"/>
    </w:rPr>
  </w:style>
  <w:style w:type="paragraph" w:styleId="ListParagraph">
    <w:name w:val="List Paragraph"/>
    <w:basedOn w:val="Normal"/>
    <w:uiPriority w:val="34"/>
    <w:qFormat w:val="1"/>
    <w:rsid w:val="00DC65F9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EC1378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B338EC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186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186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 w:val="1"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 w:val="1"/>
    <w:unhideWhenUsed w:val="1"/>
    <w:rsid w:val="0098306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0g0ThVaoG2CcqsHYpvaS7M61Xg==">AMUW2mUlu82xgmeKx+t+2D0O3Fik3annPxAYwMBMHHuY5+H5JVlgapd/OAWKEGwyA2zzNcU0U4QiQYkc+hssbvd6Q36tBQjhhoExeiVUFxnwpkvnlXety2g=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2017-08-31T20:23:00Z</dcterms:created>
  <dc:creator>nexus</dc:creator>
</cp:coreProperties>
</file>