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1B365D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1B365D"/>
          <w:spacing w:val="0"/>
          <w:position w:val="0"/>
          <w:sz w:val="40"/>
          <w:shd w:fill="auto" w:val="clear"/>
        </w:rPr>
        <w:t xml:space="preserve">Requirements Analysis Document</w:t>
        <w:br/>
        <w:t xml:space="preserve">Spending Tracker Project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365D"/>
          <w:spacing w:val="0"/>
          <w:position w:val="0"/>
          <w:sz w:val="28"/>
          <w:shd w:fill="auto" w:val="clear"/>
        </w:rPr>
        <w:t xml:space="preserve">1. Functional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The desktop system must successfully perform specific functional tasks based on active user interactions: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365D"/>
          <w:spacing w:val="0"/>
          <w:position w:val="0"/>
          <w:sz w:val="22"/>
          <w:shd w:fill="auto" w:val="clear"/>
        </w:rPr>
        <w:t xml:space="preserve">Recent Activity Ledger: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The main dashboard interface must automatically fetch and display spending entries from the last 20 days upon initialization.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365D"/>
          <w:spacing w:val="0"/>
          <w:position w:val="0"/>
          <w:sz w:val="22"/>
          <w:shd w:fill="auto" w:val="clear"/>
        </w:rPr>
        <w:t xml:space="preserve">Category Creation: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Users can input and save brand new custom spending categories into the underlying master database list.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365D"/>
          <w:spacing w:val="0"/>
          <w:position w:val="0"/>
          <w:sz w:val="22"/>
          <w:shd w:fill="auto" w:val="clear"/>
        </w:rPr>
        <w:t xml:space="preserve">Category Removal: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Users can permanently delete redundant or incorrect categories from the master configuration panel.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365D"/>
          <w:spacing w:val="0"/>
          <w:position w:val="0"/>
          <w:sz w:val="22"/>
          <w:shd w:fill="auto" w:val="clear"/>
        </w:rPr>
        <w:t xml:space="preserve">Expense Transaction Logging: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Users can log fresh transactions by selecting a category, entering a date value, and inputting a numerical monetary amount.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365D"/>
          <w:spacing w:val="0"/>
          <w:position w:val="0"/>
          <w:sz w:val="22"/>
          <w:shd w:fill="auto" w:val="clear"/>
        </w:rPr>
        <w:t xml:space="preserve">Recent Entry Modification: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The user interface allows editing or updating spending data fields if the entry falls within a 20 day threshold.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365D"/>
          <w:spacing w:val="0"/>
          <w:position w:val="0"/>
          <w:sz w:val="22"/>
          <w:shd w:fill="auto" w:val="clear"/>
        </w:rPr>
        <w:t xml:space="preserve">Recent Entry Removal: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The interface permits deleting individual operational lines from the ledger if the entry falls within a 20 day threshold.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365D"/>
          <w:spacing w:val="0"/>
          <w:position w:val="0"/>
          <w:sz w:val="22"/>
          <w:shd w:fill="auto" w:val="clear"/>
        </w:rPr>
        <w:t xml:space="preserve">Historical Record Invariability Lock: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The software enforces strict immutability rules for past ledger logs. All spending records older than 20 days are permanently uneditable and unremovable from the user interface.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365D"/>
          <w:spacing w:val="0"/>
          <w:position w:val="0"/>
          <w:sz w:val="22"/>
          <w:shd w:fill="auto" w:val="clear"/>
        </w:rPr>
        <w:t xml:space="preserve">Date-Bound Analytical Views: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Users can configure custom starting and ending calendar parameters to query and filter historical dataset views.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365D"/>
          <w:spacing w:val="0"/>
          <w:position w:val="0"/>
          <w:sz w:val="22"/>
          <w:shd w:fill="auto" w:val="clear"/>
        </w:rPr>
        <w:t xml:space="preserve">Targeted Category Reports: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Users can isolate specific items by cross-referencing a target category choice alongside strict starting and ending dates.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365D"/>
          <w:spacing w:val="0"/>
          <w:position w:val="0"/>
          <w:sz w:val="22"/>
          <w:shd w:fill="auto" w:val="clear"/>
        </w:rPr>
        <w:t xml:space="preserve">Real-Time Summation: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The interface contains calculation labels. These blocks dynamically compute and present the cumulative sum of any filtered data rows.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365D"/>
          <w:spacing w:val="0"/>
          <w:position w:val="0"/>
          <w:sz w:val="28"/>
          <w:shd w:fill="auto" w:val="clear"/>
        </w:rPr>
        <w:t xml:space="preserve">2. Non-Functional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The desktop application infrastructure must maintain standard constraints to ensure complete system operational stability: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365D"/>
          <w:spacing w:val="0"/>
          <w:position w:val="0"/>
          <w:sz w:val="22"/>
          <w:shd w:fill="auto" w:val="clear"/>
        </w:rPr>
        <w:t xml:space="preserve">Runtime Infrastructure: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The compiled system requires a configured Java Runtime Environment execution wrapper to initialize the visual frame layouts.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365D"/>
          <w:spacing w:val="0"/>
          <w:position w:val="0"/>
          <w:sz w:val="22"/>
          <w:shd w:fill="auto" w:val="clear"/>
        </w:rPr>
        <w:t xml:space="preserve">Relational Storage Engine: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The backend persistence layer requires an active XAMPP local server running MySQL with a designated database catalog titled spendingdb.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365D"/>
          <w:spacing w:val="0"/>
          <w:position w:val="0"/>
          <w:sz w:val="22"/>
          <w:shd w:fill="auto" w:val="clear"/>
        </w:rPr>
        <w:t xml:space="preserve">Data Integrity Constraints: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The relational tables implement foreign key rules. The spendings table category column maps to the category_info primary column. This design prevents orphaned transactional data.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365D"/>
          <w:spacing w:val="0"/>
          <w:position w:val="0"/>
          <w:sz w:val="22"/>
          <w:shd w:fill="auto" w:val="clear"/>
        </w:rPr>
        <w:t xml:space="preserve">Active Form Field Validation: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Input processing systems must block invalid characters. The application must reject empty submission arguments, non-numerical values, and incorrect dates without experiencing thread crashes.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365D"/>
          <w:spacing w:val="0"/>
          <w:position w:val="0"/>
          <w:sz w:val="22"/>
          <w:shd w:fill="auto" w:val="clear"/>
        </w:rPr>
        <w:t xml:space="preserve">State View Synchronization: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Data table displays, graphical user interface grids, and cumulative calculation boxes must update immediately after any modification to the underlying database records.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3">
    <w:abstractNumId w:val="6"/>
  </w:num>
  <w:num w:numId="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