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Times New Roman" w:cs="Times New Roman" w:eastAsia="Times New Roman" w:hAnsi="Times New Roman"/>
          <w:b/>
          <w:bCs/>
          <w:color w:val="000000"/>
          <w:sz w:val="40"/>
          <w:szCs w:val="40"/>
        </w:rPr>
        <w:t xml:space="preserve">Woxsen University</w:t>
      </w:r>
    </w:p>
    <w:p>
      <w:pPr>
        <w:spacing w:after="400" w:before="0"/>
        <w:jc w:val="center"/>
      </w:pPr>
      <w:r>
        <w:rPr>
          <w:rFonts w:ascii="Times New Roman" w:cs="Times New Roman" w:eastAsia="Times New Roman" w:hAnsi="Times New Roman"/>
          <w:b/>
          <w:bCs/>
          <w:color w:val="000000"/>
          <w:sz w:val="28"/>
          <w:szCs w:val="28"/>
        </w:rPr>
        <w:t xml:space="preserve">School of Technology</w:t>
      </w:r>
    </w:p>
    <w:p>
      <w:pPr>
        <w:spacing w:after="500"/>
        <w:jc w:val="center"/>
      </w:pPr>
      <w:r>
        <w:drawing>
          <wp:inline distT="0" distB="0" distL="0" distR="0">
            <wp:extent cx="2857500" cy="1590675"/>
            <wp:effectExtent t="0" r="0" b="0" l="0"/>
            <wp:docPr id="1" name="logo" descr="Woxsen University logo" title="Woxsen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1590675"/>
                    </a:xfrm>
                    <a:prstGeom prst="rect">
                      <a:avLst/>
                    </a:prstGeom>
                  </pic:spPr>
                </pic:pic>
              </a:graphicData>
            </a:graphic>
          </wp:inline>
        </w:drawing>
      </w:r>
    </w:p>
    <w:p>
      <w:pPr>
        <w:spacing w:after="80" w:before="0"/>
        <w:jc w:val="center"/>
      </w:pPr>
      <w:r>
        <w:rPr>
          <w:rFonts w:ascii="Times New Roman" w:cs="Times New Roman" w:eastAsia="Times New Roman" w:hAnsi="Times New Roman"/>
          <w:b/>
          <w:bCs/>
          <w:color w:val="000000"/>
          <w:sz w:val="26"/>
          <w:szCs w:val="26"/>
        </w:rPr>
        <w:t xml:space="preserve">PROJECT REPORT</w:t>
      </w:r>
    </w:p>
    <w:p>
      <w:pPr>
        <w:spacing w:after="80" w:before="0"/>
        <w:jc w:val="center"/>
      </w:pPr>
      <w:r>
        <w:rPr>
          <w:rFonts w:ascii="Times New Roman" w:cs="Times New Roman" w:eastAsia="Times New Roman" w:hAnsi="Times New Roman"/>
          <w:b w:val="false"/>
          <w:bCs w:val="false"/>
          <w:color w:val="000000"/>
          <w:sz w:val="22"/>
          <w:szCs w:val="22"/>
        </w:rPr>
        <w:t xml:space="preserve">on</w:t>
      </w:r>
    </w:p>
    <w:p>
      <w:pPr>
        <w:spacing w:after="100" w:before="0"/>
        <w:jc w:val="center"/>
      </w:pPr>
      <w:r>
        <w:rPr>
          <w:rFonts w:ascii="Times New Roman" w:cs="Times New Roman" w:eastAsia="Times New Roman" w:hAnsi="Times New Roman"/>
          <w:b/>
          <w:bCs/>
          <w:color w:val="000000"/>
          <w:sz w:val="32"/>
          <w:szCs w:val="32"/>
        </w:rPr>
        <w:t xml:space="preserve">FACULTY WORKLOAD AND TIMETABLE MANAGEMENT SYSTEM</w:t>
      </w:r>
    </w:p>
    <w:p>
      <w:pPr>
        <w:spacing w:after="500" w:before="0"/>
        <w:jc w:val="center"/>
      </w:pPr>
      <w:r>
        <w:rPr>
          <w:rFonts w:ascii="Times New Roman" w:cs="Times New Roman" w:eastAsia="Times New Roman" w:hAnsi="Times New Roman"/>
          <w:b w:val="false"/>
          <w:bCs w:val="false"/>
          <w:i/>
          <w:iCs/>
          <w:color w:val="000000"/>
          <w:sz w:val="22"/>
          <w:szCs w:val="22"/>
        </w:rPr>
        <w:t xml:space="preserve">Design and Implementation of a DBMS-Based Web Portal for Workload Balancing and Clash-Free Scheduling</w:t>
      </w:r>
    </w:p>
    <w:p>
      <w:pPr>
        <w:spacing w:after="60" w:before="0"/>
        <w:jc w:val="center"/>
      </w:pPr>
      <w:r>
        <w:rPr>
          <w:rFonts w:ascii="Times New Roman" w:cs="Times New Roman" w:eastAsia="Times New Roman" w:hAnsi="Times New Roman"/>
          <w:b/>
          <w:bCs/>
          <w:color w:val="000000"/>
          <w:sz w:val="22"/>
          <w:szCs w:val="22"/>
        </w:rPr>
        <w:t xml:space="preserve">Name: Shaik Abdul Raheem</w:t>
      </w:r>
    </w:p>
    <w:p>
      <w:pPr>
        <w:spacing w:after="60" w:before="0"/>
        <w:jc w:val="center"/>
      </w:pPr>
      <w:r>
        <w:rPr>
          <w:rFonts w:ascii="Times New Roman" w:cs="Times New Roman" w:eastAsia="Times New Roman" w:hAnsi="Times New Roman"/>
          <w:b/>
          <w:bCs/>
          <w:color w:val="000000"/>
          <w:sz w:val="22"/>
          <w:szCs w:val="22"/>
        </w:rPr>
        <w:t xml:space="preserve">Roll Number: 25WU0102250</w:t>
      </w:r>
    </w:p>
    <w:p>
      <w:pPr>
        <w:spacing w:after="60" w:before="0"/>
        <w:jc w:val="center"/>
      </w:pPr>
      <w:r>
        <w:rPr>
          <w:rFonts w:ascii="Times New Roman" w:cs="Times New Roman" w:eastAsia="Times New Roman" w:hAnsi="Times New Roman"/>
          <w:b/>
          <w:bCs/>
          <w:color w:val="000000"/>
          <w:sz w:val="22"/>
          <w:szCs w:val="22"/>
        </w:rPr>
        <w:t xml:space="preserve">Course: Database Management Systems (DBMS)</w:t>
      </w:r>
    </w:p>
    <w:p>
      <w:pPr>
        <w:spacing w:after="60" w:before="0"/>
        <w:jc w:val="center"/>
      </w:pPr>
      <w:r>
        <w:rPr>
          <w:rFonts w:ascii="Times New Roman" w:cs="Times New Roman" w:eastAsia="Times New Roman" w:hAnsi="Times New Roman"/>
          <w:b/>
          <w:bCs/>
          <w:color w:val="000000"/>
          <w:sz w:val="22"/>
          <w:szCs w:val="22"/>
        </w:rPr>
        <w:t xml:space="preserve">Faculty Name: Dr. Kiran Mayee</w:t>
      </w:r>
    </w:p>
    <w:p>
      <w:pPr>
        <w:spacing w:after="60" w:before="0"/>
        <w:jc w:val="center"/>
      </w:pPr>
      <w:r>
        <w:rPr>
          <w:rFonts w:ascii="Times New Roman" w:cs="Times New Roman" w:eastAsia="Times New Roman" w:hAnsi="Times New Roman"/>
          <w:b/>
          <w:bCs/>
          <w:color w:val="000000"/>
          <w:sz w:val="22"/>
          <w:szCs w:val="22"/>
        </w:rPr>
        <w:t xml:space="preserve">Academic Year: 2025–2026</w:t>
      </w:r>
    </w:p>
    <w:p>
      <w:pPr>
        <w:sectPr>
          <w:pgSz w:w="11906" w:h="16838" w:orient="portrait"/>
          <w:pgMar w:top="1440" w:right="1440" w:bottom="1440" w:left="1440" w:header="708" w:footer="708" w:gutter="0"/>
          <w:pgBorders w:display="allPages" w:offsetFrom="page">
            <w:top w:val="single" w:color="000000" w:sz="8" w:space="24"/>
            <w:left w:val="single" w:color="000000" w:sz="8" w:space="24"/>
            <w:bottom w:val="single" w:color="000000" w:sz="8" w:space="24"/>
            <w:right w:val="single" w:color="000000" w:sz="8" w:space="24"/>
          </w:pgBorders>
          <w:pgNumType/>
          <w:docGrid w:linePitch="360"/>
        </w:sectPr>
      </w:pPr>
    </w:p>
    <w:p>
      <w:pPr>
        <w:pStyle w:val="Heading1"/>
      </w:pPr>
      <w:r>
        <w:t xml:space="preserve">Abstract</w:t>
      </w:r>
    </w:p>
    <w:p>
      <w:pPr>
        <w:spacing w:after="140" w:before="0" w:line="300"/>
        <w:jc w:val="both"/>
      </w:pPr>
      <w:r>
        <w:rPr>
          <w:rFonts w:ascii="Calibri" w:cs="Calibri" w:eastAsia="Calibri" w:hAnsi="Calibri"/>
        </w:rPr>
        <w:t xml:space="preserve">The Faculty Workload and Timetable Management System is a modern, responsive academic web portal designed for university administrators, department coordinators and faculty members. It brings the management of faculty teaching workloads, curricular offerings, facility occupancy and weekly timetables into one centralized platform.</w:t>
      </w:r>
    </w:p>
    <w:p>
      <w:pPr>
        <w:spacing w:after="140" w:before="0" w:line="300"/>
        <w:jc w:val="both"/>
      </w:pPr>
      <w:r>
        <w:rPr>
          <w:rFonts w:ascii="Calibri" w:cs="Calibri" w:eastAsia="Calibri" w:hAnsi="Calibri"/>
        </w:rPr>
        <w:t xml:space="preserve">The system provides an executive dashboard with live key performance indicators and interactive charts, full CRUD management of faculty and subjects, an automated workload-balancing recommendation engine, and a weekly timetable matrix with real-time detection of faculty, room and section conflicts. It also includes classroom and laboratory management, department profiles, exportable audit reports, and role-based access control for three user roles.</w:t>
      </w:r>
    </w:p>
    <w:p>
      <w:pPr>
        <w:spacing w:after="140" w:before="0" w:line="300"/>
        <w:jc w:val="both"/>
      </w:pPr>
      <w:r>
        <w:rPr>
          <w:rFonts w:ascii="Calibri" w:cs="Calibri" w:eastAsia="Calibri" w:hAnsi="Calibri"/>
        </w:rPr>
        <w:t xml:space="preserve">As a DBMS course project, the application additionally showcases a Third Normal Form (3NF) relational model, a complete ANSI SQL DDL script, and an interactive SQL query simulator that demonstrates aggregation, self-join and multi-table join queries against the underlying data.</w:t>
      </w:r>
    </w:p>
    <w:p>
      <w:pPr>
        <w:spacing w:after="140" w:before="120" w:line="300"/>
        <w:jc w:val="both"/>
      </w:pPr>
      <w:r>
        <w:rPr>
          <w:rFonts w:ascii="Calibri" w:cs="Calibri" w:eastAsia="Calibri" w:hAnsi="Calibri"/>
          <w:b/>
          <w:bCs/>
        </w:rPr>
        <w:t xml:space="preserve">Keywords: </w:t>
      </w:r>
      <w:r>
        <w:rPr>
          <w:rFonts w:ascii="Calibri" w:cs="Calibri" w:eastAsia="Calibri" w:hAnsi="Calibri"/>
          <w:i/>
          <w:iCs/>
        </w:rPr>
        <w:t xml:space="preserve">Timetable Management, Faculty Workload, Conflict Detection, Relational Database, 3NF, SQL, RBAC, Web Application.</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w:t>
      </w:r>
    </w:p>
    <w:p>
      <w:pPr>
        <w:pStyle w:val="Heading2"/>
      </w:pPr>
      <w:r>
        <w:t xml:space="preserve">1.1 Background</w:t>
      </w:r>
    </w:p>
    <w:p>
      <w:pPr>
        <w:spacing w:after="140" w:before="0" w:line="300"/>
        <w:jc w:val="both"/>
      </w:pPr>
      <w:r>
        <w:rPr>
          <w:rFonts w:ascii="Calibri" w:cs="Calibri" w:eastAsia="Calibri" w:hAnsi="Calibri"/>
        </w:rPr>
        <w:t xml:space="preserve">Universities must continuously coordinate faculty availability, course requirements, classroom capacity and student cohorts. When this coordination is done manually or through scattered spreadsheets, it frequently results in overloaded instructors, idle capacity, double-booked rooms and overlapping classes for the same student group.</w:t>
      </w:r>
    </w:p>
    <w:p>
      <w:pPr>
        <w:pStyle w:val="Heading2"/>
      </w:pPr>
      <w:r>
        <w:t xml:space="preserve">1.2 Problem Statement</w:t>
      </w:r>
    </w:p>
    <w:p>
      <w:pPr>
        <w:spacing w:after="140" w:before="0" w:line="300"/>
        <w:jc w:val="both"/>
      </w:pPr>
      <w:r>
        <w:rPr>
          <w:rFonts w:ascii="Calibri" w:cs="Calibri" w:eastAsia="Calibri" w:hAnsi="Calibri"/>
        </w:rPr>
        <w:t xml:space="preserve">There is a need for a single, centralized system that can record faculty, subjects, rooms and sections, measure each instructor's teaching load against permissible limits, and generate weekly timetables that are guaranteed to be free of clashes.</w:t>
      </w:r>
    </w:p>
    <w:p>
      <w:pPr>
        <w:pStyle w:val="Heading2"/>
      </w:pPr>
      <w:r>
        <w:t xml:space="preserve">1.3 Objectives</w:t>
      </w:r>
    </w:p>
    <w:p>
      <w:pPr>
        <w:pStyle w:val="ListParagraph"/>
        <w:numPr>
          <w:ilvl w:val="0"/>
          <w:numId w:val="2"/>
        </w:numPr>
        <w:spacing w:after="80" w:line="290"/>
        <w:jc w:val="left"/>
      </w:pPr>
      <w:r>
        <w:rPr>
          <w:rFonts w:ascii="Calibri" w:cs="Calibri" w:eastAsia="Calibri" w:hAnsi="Calibri"/>
        </w:rPr>
        <w:t xml:space="preserve">To build a centralized portal for managing faculty, subjects, rooms, departments and timetables.</w:t>
      </w:r>
    </w:p>
    <w:p>
      <w:pPr>
        <w:pStyle w:val="ListParagraph"/>
        <w:numPr>
          <w:ilvl w:val="0"/>
          <w:numId w:val="2"/>
        </w:numPr>
        <w:spacing w:after="80" w:line="290"/>
        <w:jc w:val="left"/>
      </w:pPr>
      <w:r>
        <w:rPr>
          <w:rFonts w:ascii="Calibri" w:cs="Calibri" w:eastAsia="Calibri" w:hAnsi="Calibri"/>
        </w:rPr>
        <w:t xml:space="preserve">To monitor faculty workload against defined thresholds and recommend rebalancing where necessary.</w:t>
      </w:r>
    </w:p>
    <w:p>
      <w:pPr>
        <w:pStyle w:val="ListParagraph"/>
        <w:numPr>
          <w:ilvl w:val="0"/>
          <w:numId w:val="2"/>
        </w:numPr>
        <w:spacing w:after="80" w:line="290"/>
        <w:jc w:val="left"/>
      </w:pPr>
      <w:r>
        <w:rPr>
          <w:rFonts w:ascii="Calibri" w:cs="Calibri" w:eastAsia="Calibri" w:hAnsi="Calibri"/>
        </w:rPr>
        <w:t xml:space="preserve">To prevent faculty clashes, room double-booking and section overlaps in real time.</w:t>
      </w:r>
    </w:p>
    <w:p>
      <w:pPr>
        <w:pStyle w:val="ListParagraph"/>
        <w:numPr>
          <w:ilvl w:val="0"/>
          <w:numId w:val="2"/>
        </w:numPr>
        <w:spacing w:after="80" w:line="290"/>
        <w:jc w:val="left"/>
      </w:pPr>
      <w:r>
        <w:rPr>
          <w:rFonts w:ascii="Calibri" w:cs="Calibri" w:eastAsia="Calibri" w:hAnsi="Calibri"/>
        </w:rPr>
        <w:t xml:space="preserve">To design a normalized (3NF) relational schema with primary and foreign key integrity.</w:t>
      </w:r>
    </w:p>
    <w:p>
      <w:pPr>
        <w:pStyle w:val="ListParagraph"/>
        <w:numPr>
          <w:ilvl w:val="0"/>
          <w:numId w:val="2"/>
        </w:numPr>
        <w:spacing w:after="80" w:line="290"/>
        <w:jc w:val="left"/>
      </w:pPr>
      <w:r>
        <w:rPr>
          <w:rFonts w:ascii="Calibri" w:cs="Calibri" w:eastAsia="Calibri" w:hAnsi="Calibri"/>
        </w:rPr>
        <w:t xml:space="preserve">To provide role-specific views for administrators, coordinators and faculty.</w:t>
      </w:r>
    </w:p>
    <w:p>
      <w:pPr>
        <w:pStyle w:val="ListParagraph"/>
        <w:numPr>
          <w:ilvl w:val="0"/>
          <w:numId w:val="2"/>
        </w:numPr>
        <w:spacing w:after="80" w:line="290"/>
        <w:jc w:val="left"/>
      </w:pPr>
      <w:r>
        <w:rPr>
          <w:rFonts w:ascii="Calibri" w:cs="Calibri" w:eastAsia="Calibri" w:hAnsi="Calibri"/>
        </w:rPr>
        <w:t xml:space="preserve">To generate auditable reports exportable to CSV/Excel and print/PDF.</w:t>
      </w:r>
    </w:p>
    <w:p>
      <w:pPr>
        <w:pStyle w:val="Heading2"/>
      </w:pPr>
      <w:r>
        <w:t xml:space="preserve">1.4 Scope</w:t>
      </w:r>
    </w:p>
    <w:p>
      <w:pPr>
        <w:spacing w:after="140" w:before="0" w:line="300"/>
        <w:jc w:val="both"/>
      </w:pPr>
      <w:r>
        <w:rPr>
          <w:rFonts w:ascii="Calibri" w:cs="Calibri" w:eastAsia="Calibri" w:hAnsi="Calibri"/>
        </w:rPr>
        <w:t xml:space="preserve">The system covers four academic departments (CSE, AI &amp; ML, ECE and Mathematics), a six-day teaching week (Monday to Saturday) with one-hour slots between 9:00 AM and 5:00 PM, and a designated lunch break from 1:00 PM to 2:00 PM. It runs entirely in the browser with data persisted locally, making it easy to demonstrate and deploy.</w:t>
      </w:r>
    </w:p>
    <w:p>
      <w:pPr>
        <w:pStyle w:val="Heading1"/>
      </w:pPr>
      <w:r>
        <w:t xml:space="preserve">2. System Overview and Technology</w:t>
      </w:r>
    </w:p>
    <w:p>
      <w:pPr>
        <w:spacing w:after="140" w:before="0" w:line="300"/>
        <w:jc w:val="both"/>
      </w:pPr>
      <w:r>
        <w:rPr>
          <w:rFonts w:ascii="Calibri" w:cs="Calibri" w:eastAsia="Calibri" w:hAnsi="Calibri"/>
        </w:rPr>
        <w:t xml:space="preserve">The application is a client-side single-page web application organized into a main shell, a state store, a router/controller and independent view modules. Data is stored in the browser, so no server-side database is required to run the demonstration.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7F9DBF" w:sz="6"/>
              <w:left w:val="single" w:color="7F9DBF" w:sz="6"/>
              <w:bottom w:val="single" w:color="7F9DBF" w:sz="6"/>
              <w:right w:val="single" w:color="7F9DBF" w:sz="6"/>
            </w:tcBorders>
            <w:shd w:fill="1F3864" w:color="auto" w:val="clear"/>
            <w:tcMar>
              <w:top w:type="dxa" w:w="80"/>
              <w:left w:type="dxa" w:w="120"/>
              <w:bottom w:type="dxa" w:w="80"/>
              <w:right w:type="dxa" w:w="120"/>
            </w:tcMar>
            <w:vAlign w:val="center"/>
          </w:tcPr>
          <w:p>
            <w:pPr>
              <w:keepNext/>
              <w:jc w:val="left"/>
            </w:pPr>
            <w:r>
              <w:rPr>
                <w:rFonts w:ascii="Calibri" w:cs="Calibri" w:eastAsia="Calibri" w:hAnsi="Calibri"/>
                <w:b/>
                <w:bCs/>
                <w:color w:val="FFFFFF"/>
                <w:sz w:val="21"/>
                <w:szCs w:val="21"/>
              </w:rPr>
              <w:t xml:space="preserve">Component</w:t>
            </w:r>
          </w:p>
        </w:tc>
        <w:tc>
          <w:tcPr>
            <w:tcW w:type="dxa" w:w="6426"/>
            <w:tcBorders>
              <w:top w:val="single" w:color="7F9DBF" w:sz="6"/>
              <w:left w:val="single" w:color="7F9DBF" w:sz="6"/>
              <w:bottom w:val="single" w:color="7F9DBF" w:sz="6"/>
              <w:right w:val="single" w:color="7F9DBF" w:sz="6"/>
            </w:tcBorders>
            <w:shd w:fill="1F3864" w:color="auto" w:val="clear"/>
            <w:tcMar>
              <w:top w:type="dxa" w:w="80"/>
              <w:left w:type="dxa" w:w="120"/>
              <w:bottom w:type="dxa" w:w="80"/>
              <w:right w:type="dxa" w:w="120"/>
            </w:tcMar>
            <w:vAlign w:val="center"/>
          </w:tcPr>
          <w:p>
            <w:pPr>
              <w:keepNext/>
              <w:jc w:val="left"/>
            </w:pPr>
            <w:r>
              <w:rPr>
                <w:rFonts w:ascii="Calibri" w:cs="Calibri" w:eastAsia="Calibri" w:hAnsi="Calibri"/>
                <w:b/>
                <w:bCs/>
                <w:color w:val="FFFFFF"/>
                <w:sz w:val="21"/>
                <w:szCs w:val="21"/>
              </w:rPr>
              <w:t xml:space="preserve">Technology / Details</w:t>
            </w:r>
          </w:p>
        </w:tc>
      </w:tr>
      <w:tr>
        <w:trPr>
          <w:cantSplit/>
        </w:trPr>
        <w:tc>
          <w:tcPr>
            <w:tcW w:type="dxa" w:w="2600"/>
            <w:tcBorders>
              <w:top w:val="single" w:color="7F9DBF" w:sz="6"/>
              <w:left w:val="single" w:color="7F9DBF" w:sz="6"/>
              <w:bottom w:val="single" w:color="7F9DBF" w:sz="6"/>
              <w:right w:val="single" w:color="7F9DBF" w:sz="6"/>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Markup</w:t>
            </w:r>
          </w:p>
        </w:tc>
        <w:tc>
          <w:tcPr>
            <w:tcW w:type="dxa" w:w="6426"/>
            <w:tcBorders>
              <w:top w:val="single" w:color="7F9DBF" w:sz="6"/>
              <w:left w:val="single" w:color="7F9DBF" w:sz="6"/>
              <w:bottom w:val="single" w:color="7F9DBF" w:sz="6"/>
              <w:right w:val="single" w:color="7F9DBF" w:sz="6"/>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HTML5 application shell with header, sidebar and modals</w:t>
            </w:r>
          </w:p>
        </w:tc>
      </w:tr>
      <w:tr>
        <w:trPr>
          <w:cantSplit/>
        </w:trPr>
        <w:tc>
          <w:tcPr>
            <w:tcW w:type="dxa" w:w="2600"/>
            <w:tcBorders>
              <w:top w:val="single" w:color="7F9DBF" w:sz="6"/>
              <w:left w:val="single" w:color="7F9DBF" w:sz="6"/>
              <w:bottom w:val="single" w:color="7F9DBF" w:sz="6"/>
              <w:right w:val="single" w:color="7F9DBF" w:sz="6"/>
            </w:tcBorders>
            <w:shd w:fill="F2F2F2" w:color="auto" w:val="clear"/>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Styling</w:t>
            </w:r>
          </w:p>
        </w:tc>
        <w:tc>
          <w:tcPr>
            <w:tcW w:type="dxa" w:w="6426"/>
            <w:tcBorders>
              <w:top w:val="single" w:color="7F9DBF" w:sz="6"/>
              <w:left w:val="single" w:color="7F9DBF" w:sz="6"/>
              <w:bottom w:val="single" w:color="7F9DBF" w:sz="6"/>
              <w:right w:val="single" w:color="7F9DBF" w:sz="6"/>
            </w:tcBorders>
            <w:shd w:fill="F2F2F2" w:color="auto" w:val="clear"/>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CSS3 with design tokens, dedicated timetable and component stylesheets, dark/light themes and an @media print stylesheet</w:t>
            </w:r>
          </w:p>
        </w:tc>
      </w:tr>
      <w:tr>
        <w:trPr>
          <w:cantSplit/>
        </w:trPr>
        <w:tc>
          <w:tcPr>
            <w:tcW w:type="dxa" w:w="2600"/>
            <w:tcBorders>
              <w:top w:val="single" w:color="7F9DBF" w:sz="6"/>
              <w:left w:val="single" w:color="7F9DBF" w:sz="6"/>
              <w:bottom w:val="single" w:color="7F9DBF" w:sz="6"/>
              <w:right w:val="single" w:color="7F9DBF" w:sz="6"/>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Logic</w:t>
            </w:r>
          </w:p>
        </w:tc>
        <w:tc>
          <w:tcPr>
            <w:tcW w:type="dxa" w:w="6426"/>
            <w:tcBorders>
              <w:top w:val="single" w:color="7F9DBF" w:sz="6"/>
              <w:left w:val="single" w:color="7F9DBF" w:sz="6"/>
              <w:bottom w:val="single" w:color="7F9DBF" w:sz="6"/>
              <w:right w:val="single" w:color="7F9DBF" w:sz="6"/>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Vanilla JavaScript organized as data, store, controller and view modules</w:t>
            </w:r>
          </w:p>
        </w:tc>
      </w:tr>
      <w:tr>
        <w:trPr>
          <w:cantSplit/>
        </w:trPr>
        <w:tc>
          <w:tcPr>
            <w:tcW w:type="dxa" w:w="2600"/>
            <w:tcBorders>
              <w:top w:val="single" w:color="7F9DBF" w:sz="6"/>
              <w:left w:val="single" w:color="7F9DBF" w:sz="6"/>
              <w:bottom w:val="single" w:color="7F9DBF" w:sz="6"/>
              <w:right w:val="single" w:color="7F9DBF" w:sz="6"/>
            </w:tcBorders>
            <w:shd w:fill="F2F2F2" w:color="auto" w:val="clear"/>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Visualization</w:t>
            </w:r>
          </w:p>
        </w:tc>
        <w:tc>
          <w:tcPr>
            <w:tcW w:type="dxa" w:w="6426"/>
            <w:tcBorders>
              <w:top w:val="single" w:color="7F9DBF" w:sz="6"/>
              <w:left w:val="single" w:color="7F9DBF" w:sz="6"/>
              <w:bottom w:val="single" w:color="7F9DBF" w:sz="6"/>
              <w:right w:val="single" w:color="7F9DBF" w:sz="6"/>
            </w:tcBorders>
            <w:shd w:fill="F2F2F2" w:color="auto" w:val="clear"/>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Chart.js for bar, doughnut and trend charts</w:t>
            </w:r>
          </w:p>
        </w:tc>
      </w:tr>
      <w:tr>
        <w:trPr>
          <w:cantSplit/>
        </w:trPr>
        <w:tc>
          <w:tcPr>
            <w:tcW w:type="dxa" w:w="2600"/>
            <w:tcBorders>
              <w:top w:val="single" w:color="7F9DBF" w:sz="6"/>
              <w:left w:val="single" w:color="7F9DBF" w:sz="6"/>
              <w:bottom w:val="single" w:color="7F9DBF" w:sz="6"/>
              <w:right w:val="single" w:color="7F9DBF" w:sz="6"/>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Persistence</w:t>
            </w:r>
          </w:p>
        </w:tc>
        <w:tc>
          <w:tcPr>
            <w:tcW w:type="dxa" w:w="6426"/>
            <w:tcBorders>
              <w:top w:val="single" w:color="7F9DBF" w:sz="6"/>
              <w:left w:val="single" w:color="7F9DBF" w:sz="6"/>
              <w:bottom w:val="single" w:color="7F9DBF" w:sz="6"/>
              <w:right w:val="single" w:color="7F9DBF" w:sz="6"/>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Browser localStorage with one-click reset to seed data</w:t>
            </w:r>
          </w:p>
        </w:tc>
      </w:tr>
      <w:tr>
        <w:trPr>
          <w:cantSplit/>
        </w:trPr>
        <w:tc>
          <w:tcPr>
            <w:tcW w:type="dxa" w:w="2600"/>
            <w:tcBorders>
              <w:top w:val="single" w:color="7F9DBF" w:sz="6"/>
              <w:left w:val="single" w:color="7F9DBF" w:sz="6"/>
              <w:bottom w:val="single" w:color="7F9DBF" w:sz="6"/>
              <w:right w:val="single" w:color="7F9DBF" w:sz="6"/>
            </w:tcBorders>
            <w:shd w:fill="F2F2F2" w:color="auto" w:val="clear"/>
            <w:tcMar>
              <w:top w:type="dxa" w:w="80"/>
              <w:left w:type="dxa" w:w="120"/>
              <w:bottom w:type="dxa" w:w="80"/>
              <w:right w:type="dxa" w:w="120"/>
            </w:tcMar>
            <w:vAlign w:val="center"/>
          </w:tcPr>
          <w:p>
            <w:pPr>
              <w:keepNext w:val="false"/>
              <w:jc w:val="left"/>
            </w:pPr>
            <w:r>
              <w:rPr>
                <w:rFonts w:ascii="Calibri" w:cs="Calibri" w:eastAsia="Calibri" w:hAnsi="Calibri"/>
                <w:b w:val="false"/>
                <w:bCs w:val="false"/>
                <w:sz w:val="21"/>
                <w:szCs w:val="21"/>
              </w:rPr>
              <w:t xml:space="preserve">Hosting</w:t>
            </w:r>
          </w:p>
        </w:tc>
        <w:tc>
          <w:tcPr>
            <w:tcW w:type="dxa" w:w="6426"/>
            <w:tcBorders>
              <w:top w:val="single" w:color="7F9DBF" w:sz="6"/>
              <w:left w:val="single" w:color="7F9DBF" w:sz="6"/>
              <w:bottom w:val="single" w:color="7F9DBF" w:sz="6"/>
              <w:right w:val="single" w:color="7F9DBF" w:sz="6"/>
            </w:tcBorders>
            <w:shd w:fill="F2F2F2" w:color="auto" w:val="clear"/>
            <w:tcMar>
              <w:top w:type="dxa" w:w="80"/>
              <w:left w:type="dxa" w:w="120"/>
              <w:bottom w:type="dxa" w:w="80"/>
              <w:right w:type="dxa" w:w="120"/>
            </w:tcMar>
            <w:vAlign w:val="center"/>
          </w:tcPr>
          <w:p>
            <w:pPr>
              <w:keepNext w:val="false"/>
              <w:jc w:val="left"/>
            </w:pPr>
            <w:r>
              <w:rPr>
                <w:rFonts w:ascii="Calibri" w:cs="Calibri" w:eastAsia="Calibri" w:hAnsi="Calibri"/>
                <w:b w:val="false"/>
                <w:bCs w:val="false"/>
                <w:sz w:val="21"/>
                <w:szCs w:val="21"/>
              </w:rPr>
              <w:t xml:space="preserve">Any static web server (e.g., Python http.server) or direct file open</w:t>
            </w:r>
          </w:p>
        </w:tc>
      </w:tr>
    </w:tbl>
    <w:p>
      <w:pPr>
        <w:spacing w:after="220" w:before="80" w:line="300"/>
        <w:jc w:val="center"/>
      </w:pPr>
      <w:r>
        <w:rPr>
          <w:rFonts w:ascii="Calibri" w:cs="Calibri" w:eastAsia="Calibri" w:hAnsi="Calibri"/>
          <w:i/>
          <w:iCs/>
          <w:color w:val="595959"/>
          <w:sz w:val="20"/>
          <w:szCs w:val="20"/>
        </w:rPr>
        <w:t xml:space="preserve">Table 1: Technology stack</w:t>
      </w:r>
    </w:p>
    <w:p>
      <w:pPr>
        <w:pStyle w:val="Heading1"/>
      </w:pPr>
      <w:r>
        <w:t xml:space="preserve">3. Functional Modules</w:t>
      </w:r>
    </w:p>
    <w:p>
      <w:pPr>
        <w:spacing w:after="140" w:before="0" w:line="300"/>
        <w:jc w:val="both"/>
      </w:pPr>
      <w:r>
        <w:rPr>
          <w:rFonts w:ascii="Calibri" w:cs="Calibri" w:eastAsia="Calibri" w:hAnsi="Calibri"/>
        </w:rPr>
        <w:t xml:space="preserve">The portal is divided into ten functional modules, each implemented as a separate view. They are described below.</w:t>
      </w:r>
    </w:p>
    <w:p>
      <w:pPr>
        <w:pStyle w:val="Heading2"/>
      </w:pPr>
      <w:r>
        <w:t xml:space="preserve">3.1 Executive Academic Dashboard</w:t>
      </w:r>
    </w:p>
    <w:p>
      <w:pPr>
        <w:spacing w:after="140" w:before="0" w:line="300"/>
        <w:jc w:val="both"/>
      </w:pPr>
      <w:r>
        <w:rPr>
          <w:rFonts w:ascii="Calibri" w:cs="Calibri" w:eastAsia="Calibri" w:hAnsi="Calibri"/>
        </w:rPr>
        <w:t xml:space="preserve">The dashboard gives administrators an at-a-glance view of the institution through real-time KPI counters and interactive charts.</w:t>
      </w:r>
    </w:p>
    <w:p>
      <w:pPr>
        <w:pStyle w:val="ListParagraph"/>
        <w:numPr>
          <w:ilvl w:val="0"/>
          <w:numId w:val="2"/>
        </w:numPr>
        <w:spacing w:after="80" w:line="290"/>
        <w:jc w:val="left"/>
      </w:pPr>
      <w:r>
        <w:rPr>
          <w:rFonts w:ascii="Calibri" w:cs="Calibri" w:eastAsia="Calibri" w:hAnsi="Calibri"/>
          <w:b/>
          <w:bCs/>
        </w:rPr>
        <w:t xml:space="preserve">KPI metrics: </w:t>
      </w:r>
      <w:r>
        <w:rPr>
          <w:rFonts w:ascii="Calibri" w:cs="Calibri" w:eastAsia="Calibri" w:hAnsi="Calibri"/>
        </w:rPr>
        <w:t xml:space="preserve">total faculty, active subjects, weekly scheduled classes, lecture halls and labs, average faculty workload, overloaded faculty (&gt;16 hrs) and underloaded faculty (&lt;11 hrs).</w:t>
      </w:r>
    </w:p>
    <w:p>
      <w:pPr>
        <w:pStyle w:val="ListParagraph"/>
        <w:numPr>
          <w:ilvl w:val="0"/>
          <w:numId w:val="2"/>
        </w:numPr>
        <w:spacing w:after="80" w:line="290"/>
        <w:jc w:val="left"/>
      </w:pPr>
      <w:r>
        <w:rPr>
          <w:rFonts w:ascii="Calibri" w:cs="Calibri" w:eastAsia="Calibri" w:hAnsi="Calibri"/>
          <w:b/>
          <w:bCs/>
        </w:rPr>
        <w:t xml:space="preserve">Faculty Workload Distribution: </w:t>
      </w:r>
      <w:r>
        <w:rPr>
          <w:rFonts w:ascii="Calibri" w:cs="Calibri" w:eastAsia="Calibri" w:hAnsi="Calibri"/>
        </w:rPr>
        <w:t xml:space="preserve">multi-bar chart comparing actual contact hours against maximum permissible limits.</w:t>
      </w:r>
    </w:p>
    <w:p>
      <w:pPr>
        <w:pStyle w:val="ListParagraph"/>
        <w:numPr>
          <w:ilvl w:val="0"/>
          <w:numId w:val="2"/>
        </w:numPr>
        <w:spacing w:after="80" w:line="290"/>
        <w:jc w:val="left"/>
      </w:pPr>
      <w:r>
        <w:rPr>
          <w:rFonts w:ascii="Calibri" w:cs="Calibri" w:eastAsia="Calibri" w:hAnsi="Calibri"/>
          <w:b/>
          <w:bCs/>
        </w:rPr>
        <w:t xml:space="preserve">Department-wise Workload Share: </w:t>
      </w:r>
      <w:r>
        <w:rPr>
          <w:rFonts w:ascii="Calibri" w:cs="Calibri" w:eastAsia="Calibri" w:hAnsi="Calibri"/>
        </w:rPr>
        <w:t xml:space="preserve">doughnut chart across CSE, AI &amp; ML, ECE and Mathematics.</w:t>
      </w:r>
    </w:p>
    <w:p>
      <w:pPr>
        <w:pStyle w:val="ListParagraph"/>
        <w:numPr>
          <w:ilvl w:val="0"/>
          <w:numId w:val="2"/>
        </w:numPr>
        <w:spacing w:after="80" w:line="290"/>
        <w:jc w:val="left"/>
      </w:pPr>
      <w:r>
        <w:rPr>
          <w:rFonts w:ascii="Calibri" w:cs="Calibri" w:eastAsia="Calibri" w:hAnsi="Calibri"/>
          <w:b/>
          <w:bCs/>
        </w:rPr>
        <w:t xml:space="preserve">Weekly Class Load Distribution: </w:t>
      </w:r>
      <w:r>
        <w:rPr>
          <w:rFonts w:ascii="Calibri" w:cs="Calibri" w:eastAsia="Calibri" w:hAnsi="Calibri"/>
        </w:rPr>
        <w:t xml:space="preserve">trend of class density from Monday to Saturday.</w:t>
      </w:r>
    </w:p>
    <w:p>
      <w:pPr>
        <w:pStyle w:val="ListParagraph"/>
        <w:numPr>
          <w:ilvl w:val="0"/>
          <w:numId w:val="2"/>
        </w:numPr>
        <w:spacing w:after="80" w:line="290"/>
        <w:jc w:val="left"/>
      </w:pPr>
      <w:r>
        <w:rPr>
          <w:rFonts w:ascii="Calibri" w:cs="Calibri" w:eastAsia="Calibri" w:hAnsi="Calibri"/>
          <w:b/>
          <w:bCs/>
        </w:rPr>
        <w:t xml:space="preserve">Today's Live Schedule: </w:t>
      </w:r>
      <w:r>
        <w:rPr>
          <w:rFonts w:ascii="Calibri" w:cs="Calibri" w:eastAsia="Calibri" w:hAnsi="Calibri"/>
        </w:rPr>
        <w:t xml:space="preserve">feed showing time, subject, faculty avatar, room, section and session type (Lecture or Lab).</w:t>
      </w:r>
    </w:p>
    <w:p>
      <w:pPr>
        <w:keepNext/>
        <w:pBdr>
          <w:top w:val="single" w:color="7F9DBF" w:sz="6"/>
          <w:bottom w:val="single" w:color="7F9DBF" w:sz="6"/>
          <w:left w:val="single" w:color="7F9DBF" w:sz="6"/>
          <w:right w:val="single" w:color="7F9DBF" w:sz="6"/>
        </w:pBdr>
        <w:spacing w:after="60" w:before="160"/>
        <w:jc w:val="center"/>
      </w:pPr>
      <w:r>
        <w:drawing>
          <wp:inline distT="0" distB="0" distL="0" distR="0">
            <wp:extent cx="5429250" cy="2466975"/>
            <wp:effectExtent t="0" r="0" b="0" l="0"/>
            <wp:docPr id="1" name="fig1" descr="Executive Academic Dashboard with KPI cards and workload charts" title="Executive Academic Dashboard with KPI cards and workload ch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29250" cy="2466975"/>
                    </a:xfrm>
                    <a:prstGeom prst="rect">
                      <a:avLst/>
                    </a:prstGeom>
                  </pic:spPr>
                </pic:pic>
              </a:graphicData>
            </a:graphic>
          </wp:inline>
        </w:drawing>
      </w:r>
    </w:p>
    <w:p>
      <w:pPr>
        <w:spacing w:after="220" w:before="0" w:line="300"/>
        <w:jc w:val="center"/>
      </w:pPr>
      <w:r>
        <w:rPr>
          <w:rFonts w:ascii="Calibri" w:cs="Calibri" w:eastAsia="Calibri" w:hAnsi="Calibri"/>
          <w:i/>
          <w:iCs/>
          <w:color w:val="595959"/>
          <w:sz w:val="20"/>
          <w:szCs w:val="20"/>
        </w:rPr>
        <w:t xml:space="preserve">Figure 1: Executive Academic Dashboard with KPI cards and workload charts</w:t>
      </w:r>
    </w:p>
    <w:p>
      <w:pPr>
        <w:pStyle w:val="Heading2"/>
      </w:pPr>
      <w:r>
        <w:t xml:space="preserve">3.2 Faculty Management and Directory</w:t>
      </w:r>
    </w:p>
    <w:p>
      <w:pPr>
        <w:spacing w:after="140" w:before="0" w:line="300"/>
        <w:jc w:val="both"/>
      </w:pPr>
      <w:r>
        <w:rPr>
          <w:rFonts w:ascii="Calibri" w:cs="Calibri" w:eastAsia="Calibri" w:hAnsi="Calibri"/>
        </w:rPr>
        <w:t xml:space="preserve">A comprehensive directory tracks Faculty ID, name, department, designation, assigned subjects, a colour-coded workload progress bar, maximum workload and status.</w:t>
      </w:r>
    </w:p>
    <w:p>
      <w:pPr>
        <w:pStyle w:val="ListParagraph"/>
        <w:numPr>
          <w:ilvl w:val="0"/>
          <w:numId w:val="2"/>
        </w:numPr>
        <w:spacing w:after="80" w:line="290"/>
        <w:jc w:val="left"/>
      </w:pPr>
      <w:r>
        <w:rPr>
          <w:rFonts w:ascii="Calibri" w:cs="Calibri" w:eastAsia="Calibri" w:hAnsi="Calibri"/>
          <w:b/>
          <w:bCs/>
        </w:rPr>
        <w:t xml:space="preserve">View Profile: </w:t>
      </w:r>
      <w:r>
        <w:rPr>
          <w:rFonts w:ascii="Calibri" w:cs="Calibri" w:eastAsia="Calibri" w:hAnsi="Calibri"/>
        </w:rPr>
        <w:t xml:space="preserve">modal with contact details, research specialization and full weekly teaching timetable.</w:t>
      </w:r>
    </w:p>
    <w:p>
      <w:pPr>
        <w:pStyle w:val="ListParagraph"/>
        <w:numPr>
          <w:ilvl w:val="0"/>
          <w:numId w:val="2"/>
        </w:numPr>
        <w:spacing w:after="80" w:line="290"/>
        <w:jc w:val="left"/>
      </w:pPr>
      <w:r>
        <w:rPr>
          <w:rFonts w:ascii="Calibri" w:cs="Calibri" w:eastAsia="Calibri" w:hAnsi="Calibri"/>
          <w:b/>
          <w:bCs/>
        </w:rPr>
        <w:t xml:space="preserve">Add / Edit Faculty: </w:t>
      </w:r>
      <w:r>
        <w:rPr>
          <w:rFonts w:ascii="Calibri" w:cs="Calibri" w:eastAsia="Calibri" w:hAnsi="Calibri"/>
        </w:rPr>
        <w:t xml:space="preserve">validated forms with automatic avatar generation.</w:t>
      </w:r>
    </w:p>
    <w:p>
      <w:pPr>
        <w:pStyle w:val="ListParagraph"/>
        <w:numPr>
          <w:ilvl w:val="0"/>
          <w:numId w:val="2"/>
        </w:numPr>
        <w:spacing w:after="80" w:line="290"/>
        <w:jc w:val="left"/>
      </w:pPr>
      <w:r>
        <w:rPr>
          <w:rFonts w:ascii="Calibri" w:cs="Calibri" w:eastAsia="Calibri" w:hAnsi="Calibri"/>
          <w:b/>
          <w:bCs/>
        </w:rPr>
        <w:t xml:space="preserve">Assign Subjects: </w:t>
      </w:r>
      <w:r>
        <w:rPr>
          <w:rFonts w:ascii="Calibri" w:cs="Calibri" w:eastAsia="Calibri" w:hAnsi="Calibri"/>
        </w:rPr>
        <w:t xml:space="preserve">toggle interface to allocate or detach subjects.</w:t>
      </w:r>
    </w:p>
    <w:p>
      <w:pPr>
        <w:pStyle w:val="ListParagraph"/>
        <w:numPr>
          <w:ilvl w:val="0"/>
          <w:numId w:val="2"/>
        </w:numPr>
        <w:spacing w:after="80" w:line="290"/>
        <w:jc w:val="left"/>
      </w:pPr>
      <w:r>
        <w:rPr>
          <w:rFonts w:ascii="Calibri" w:cs="Calibri" w:eastAsia="Calibri" w:hAnsi="Calibri"/>
          <w:b/>
          <w:bCs/>
        </w:rPr>
        <w:t xml:space="preserve">Delete Faculty: </w:t>
      </w:r>
      <w:r>
        <w:rPr>
          <w:rFonts w:ascii="Calibri" w:cs="Calibri" w:eastAsia="Calibri" w:hAnsi="Calibri"/>
        </w:rPr>
        <w:t xml:space="preserve">cascade protection that removes the associated timetable allocations.</w:t>
      </w:r>
    </w:p>
    <w:p>
      <w:pPr>
        <w:pStyle w:val="ListParagraph"/>
        <w:numPr>
          <w:ilvl w:val="0"/>
          <w:numId w:val="2"/>
        </w:numPr>
        <w:spacing w:after="80" w:line="290"/>
        <w:jc w:val="left"/>
      </w:pPr>
      <w:r>
        <w:rPr>
          <w:rFonts w:ascii="Calibri" w:cs="Calibri" w:eastAsia="Calibri" w:hAnsi="Calibri"/>
          <w:b/>
          <w:bCs/>
        </w:rPr>
        <w:t xml:space="preserve">Search and Filters: </w:t>
      </w:r>
      <w:r>
        <w:rPr>
          <w:rFonts w:ascii="Calibri" w:cs="Calibri" w:eastAsia="Calibri" w:hAnsi="Calibri"/>
        </w:rPr>
        <w:t xml:space="preserve">instant text search, department filter and workload-status filter.</w:t>
      </w:r>
    </w:p>
    <w:p>
      <w:pPr>
        <w:keepNext/>
        <w:pBdr>
          <w:top w:val="single" w:color="7F9DBF" w:sz="6"/>
          <w:bottom w:val="single" w:color="7F9DBF" w:sz="6"/>
          <w:left w:val="single" w:color="7F9DBF" w:sz="6"/>
          <w:right w:val="single" w:color="7F9DBF" w:sz="6"/>
        </w:pBdr>
        <w:spacing w:after="60" w:before="160"/>
        <w:jc w:val="center"/>
      </w:pPr>
      <w:r>
        <w:drawing>
          <wp:inline distT="0" distB="0" distL="0" distR="0">
            <wp:extent cx="5429250" cy="2457450"/>
            <wp:effectExtent t="0" r="0" b="0" l="0"/>
            <wp:docPr id="1" name="fig2" descr="Faculty Management directory with workload progress bars and status" title="Faculty Management directory with workload progress bars and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29250" cy="2457450"/>
                    </a:xfrm>
                    <a:prstGeom prst="rect">
                      <a:avLst/>
                    </a:prstGeom>
                  </pic:spPr>
                </pic:pic>
              </a:graphicData>
            </a:graphic>
          </wp:inline>
        </w:drawing>
      </w:r>
    </w:p>
    <w:p>
      <w:pPr>
        <w:spacing w:after="220" w:before="0" w:line="300"/>
        <w:jc w:val="center"/>
      </w:pPr>
      <w:r>
        <w:rPr>
          <w:rFonts w:ascii="Calibri" w:cs="Calibri" w:eastAsia="Calibri" w:hAnsi="Calibri"/>
          <w:i/>
          <w:iCs/>
          <w:color w:val="595959"/>
          <w:sz w:val="20"/>
          <w:szCs w:val="20"/>
        </w:rPr>
        <w:t xml:space="preserve">Figure 2: Faculty Management directory with workload progress bars and status</w:t>
      </w:r>
    </w:p>
    <w:p>
      <w:pPr>
        <w:pStyle w:val="Heading2"/>
      </w:pPr>
      <w:r>
        <w:t xml:space="preserve">3.3 Curriculum and Subject Management</w:t>
      </w:r>
    </w:p>
    <w:p>
      <w:pPr>
        <w:spacing w:after="140" w:before="0" w:line="300"/>
        <w:jc w:val="both"/>
      </w:pPr>
      <w:r>
        <w:rPr>
          <w:rFonts w:ascii="Calibri" w:cs="Calibri" w:eastAsia="Calibri" w:hAnsi="Calibri"/>
        </w:rPr>
        <w:t xml:space="preserve">A tabular registry lists course code, title, department, semester, credits and the L-T-P (Lecture-Tutorial-Practical) contact-hour breakdown. Each subject is linked to its assigned faculty and total weekly teaching commitment, with full Add, Edit and Delete workflows.</w:t>
      </w:r>
    </w:p>
    <w:p>
      <w:pPr>
        <w:keepNext/>
        <w:pBdr>
          <w:top w:val="single" w:color="7F9DBF" w:sz="6"/>
          <w:bottom w:val="single" w:color="7F9DBF" w:sz="6"/>
          <w:left w:val="single" w:color="7F9DBF" w:sz="6"/>
          <w:right w:val="single" w:color="7F9DBF" w:sz="6"/>
        </w:pBdr>
        <w:spacing w:after="60" w:before="160"/>
        <w:jc w:val="center"/>
      </w:pPr>
      <w:r>
        <w:drawing>
          <wp:inline distT="0" distB="0" distL="0" distR="0">
            <wp:extent cx="5429250" cy="2457450"/>
            <wp:effectExtent t="0" r="0" b="0" l="0"/>
            <wp:docPr id="1" name="fig3" descr="Curriculum and Subject Management with L-T-P breakdown" title="Curriculum and Subject Management with L-T-P break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29250" cy="2457450"/>
                    </a:xfrm>
                    <a:prstGeom prst="rect">
                      <a:avLst/>
                    </a:prstGeom>
                  </pic:spPr>
                </pic:pic>
              </a:graphicData>
            </a:graphic>
          </wp:inline>
        </w:drawing>
      </w:r>
    </w:p>
    <w:p>
      <w:pPr>
        <w:spacing w:after="220" w:before="0" w:line="300"/>
        <w:jc w:val="center"/>
      </w:pPr>
      <w:r>
        <w:rPr>
          <w:rFonts w:ascii="Calibri" w:cs="Calibri" w:eastAsia="Calibri" w:hAnsi="Calibri"/>
          <w:i/>
          <w:iCs/>
          <w:color w:val="595959"/>
          <w:sz w:val="20"/>
          <w:szCs w:val="20"/>
        </w:rPr>
        <w:t xml:space="preserve">Figure 3: Curriculum and Subject Management with L-T-P breakdown</w:t>
      </w:r>
    </w:p>
    <w:p>
      <w:pPr>
        <w:pStyle w:val="Heading2"/>
      </w:pPr>
      <w:r>
        <w:t xml:space="preserve">3.4 Workload Management and Allocation</w:t>
      </w:r>
    </w:p>
    <w:p>
      <w:pPr>
        <w:spacing w:after="140" w:before="0" w:line="300"/>
        <w:jc w:val="both"/>
      </w:pPr>
      <w:r>
        <w:rPr>
          <w:rFonts w:ascii="Calibri" w:cs="Calibri" w:eastAsia="Calibri" w:hAnsi="Calibri"/>
        </w:rPr>
        <w:t xml:space="preserve">This module compares actual teaching hours with permissible limits and classifies each faculty member using the thresholds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26"/>
      </w:tblGrid>
      <w:tr>
        <w:trPr>
          <w:cantSplit/>
          <w:tblHeader/>
        </w:trPr>
        <w:tc>
          <w:tcPr>
            <w:tcW w:type="dxa" w:w="2300"/>
            <w:tcBorders>
              <w:top w:val="single" w:color="7F9DBF" w:sz="6"/>
              <w:left w:val="single" w:color="7F9DBF" w:sz="6"/>
              <w:bottom w:val="single" w:color="7F9DBF" w:sz="6"/>
              <w:right w:val="single" w:color="7F9DBF" w:sz="6"/>
            </w:tcBorders>
            <w:shd w:fill="1F3864" w:color="auto" w:val="clear"/>
            <w:tcMar>
              <w:top w:type="dxa" w:w="80"/>
              <w:left w:type="dxa" w:w="120"/>
              <w:bottom w:type="dxa" w:w="80"/>
              <w:right w:type="dxa" w:w="120"/>
            </w:tcMar>
            <w:vAlign w:val="center"/>
          </w:tcPr>
          <w:p>
            <w:pPr>
              <w:keepNext/>
              <w:jc w:val="left"/>
            </w:pPr>
            <w:r>
              <w:rPr>
                <w:rFonts w:ascii="Calibri" w:cs="Calibri" w:eastAsia="Calibri" w:hAnsi="Calibri"/>
                <w:b/>
                <w:bCs/>
                <w:color w:val="FFFFFF"/>
                <w:sz w:val="21"/>
                <w:szCs w:val="21"/>
              </w:rPr>
              <w:t xml:space="preserve">Status</w:t>
            </w:r>
          </w:p>
        </w:tc>
        <w:tc>
          <w:tcPr>
            <w:tcW w:type="dxa" w:w="2600"/>
            <w:tcBorders>
              <w:top w:val="single" w:color="7F9DBF" w:sz="6"/>
              <w:left w:val="single" w:color="7F9DBF" w:sz="6"/>
              <w:bottom w:val="single" w:color="7F9DBF" w:sz="6"/>
              <w:right w:val="single" w:color="7F9DBF" w:sz="6"/>
            </w:tcBorders>
            <w:shd w:fill="1F3864" w:color="auto" w:val="clear"/>
            <w:tcMar>
              <w:top w:type="dxa" w:w="80"/>
              <w:left w:type="dxa" w:w="120"/>
              <w:bottom w:type="dxa" w:w="80"/>
              <w:right w:type="dxa" w:w="120"/>
            </w:tcMar>
            <w:vAlign w:val="center"/>
          </w:tcPr>
          <w:p>
            <w:pPr>
              <w:keepNext/>
              <w:jc w:val="left"/>
            </w:pPr>
            <w:r>
              <w:rPr>
                <w:rFonts w:ascii="Calibri" w:cs="Calibri" w:eastAsia="Calibri" w:hAnsi="Calibri"/>
                <w:b/>
                <w:bCs/>
                <w:color w:val="FFFFFF"/>
                <w:sz w:val="21"/>
                <w:szCs w:val="21"/>
              </w:rPr>
              <w:t xml:space="preserve">Weekly Hours</w:t>
            </w:r>
          </w:p>
        </w:tc>
        <w:tc>
          <w:tcPr>
            <w:tcW w:type="dxa" w:w="4126"/>
            <w:tcBorders>
              <w:top w:val="single" w:color="7F9DBF" w:sz="6"/>
              <w:left w:val="single" w:color="7F9DBF" w:sz="6"/>
              <w:bottom w:val="single" w:color="7F9DBF" w:sz="6"/>
              <w:right w:val="single" w:color="7F9DBF" w:sz="6"/>
            </w:tcBorders>
            <w:shd w:fill="1F3864" w:color="auto" w:val="clear"/>
            <w:tcMar>
              <w:top w:type="dxa" w:w="80"/>
              <w:left w:type="dxa" w:w="120"/>
              <w:bottom w:type="dxa" w:w="80"/>
              <w:right w:type="dxa" w:w="120"/>
            </w:tcMar>
            <w:vAlign w:val="center"/>
          </w:tcPr>
          <w:p>
            <w:pPr>
              <w:keepNext/>
              <w:jc w:val="left"/>
            </w:pPr>
            <w:r>
              <w:rPr>
                <w:rFonts w:ascii="Calibri" w:cs="Calibri" w:eastAsia="Calibri" w:hAnsi="Calibri"/>
                <w:b/>
                <w:bCs/>
                <w:color w:val="FFFFFF"/>
                <w:sz w:val="21"/>
                <w:szCs w:val="21"/>
              </w:rPr>
              <w:t xml:space="preserve">Meaning</w:t>
            </w:r>
          </w:p>
        </w:tc>
      </w:tr>
      <w:tr>
        <w:trPr>
          <w:cantSplit/>
        </w:trPr>
        <w:tc>
          <w:tcPr>
            <w:tcW w:type="dxa" w:w="2300"/>
            <w:tcBorders>
              <w:top w:val="single" w:color="7F9DBF" w:sz="6"/>
              <w:left w:val="single" w:color="7F9DBF" w:sz="6"/>
              <w:bottom w:val="single" w:color="7F9DBF" w:sz="6"/>
              <w:right w:val="single" w:color="7F9DBF" w:sz="6"/>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Optimal (Green)</w:t>
            </w:r>
          </w:p>
        </w:tc>
        <w:tc>
          <w:tcPr>
            <w:tcW w:type="dxa" w:w="2600"/>
            <w:tcBorders>
              <w:top w:val="single" w:color="7F9DBF" w:sz="6"/>
              <w:left w:val="single" w:color="7F9DBF" w:sz="6"/>
              <w:bottom w:val="single" w:color="7F9DBF" w:sz="6"/>
              <w:right w:val="single" w:color="7F9DBF" w:sz="6"/>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11 to 16 hours</w:t>
            </w:r>
          </w:p>
        </w:tc>
        <w:tc>
          <w:tcPr>
            <w:tcW w:type="dxa" w:w="4126"/>
            <w:tcBorders>
              <w:top w:val="single" w:color="7F9DBF" w:sz="6"/>
              <w:left w:val="single" w:color="7F9DBF" w:sz="6"/>
              <w:bottom w:val="single" w:color="7F9DBF" w:sz="6"/>
              <w:right w:val="single" w:color="7F9DBF" w:sz="6"/>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Balanced teaching load</w:t>
            </w:r>
          </w:p>
        </w:tc>
      </w:tr>
      <w:tr>
        <w:trPr>
          <w:cantSplit/>
        </w:trPr>
        <w:tc>
          <w:tcPr>
            <w:tcW w:type="dxa" w:w="2300"/>
            <w:tcBorders>
              <w:top w:val="single" w:color="7F9DBF" w:sz="6"/>
              <w:left w:val="single" w:color="7F9DBF" w:sz="6"/>
              <w:bottom w:val="single" w:color="7F9DBF" w:sz="6"/>
              <w:right w:val="single" w:color="7F9DBF" w:sz="6"/>
            </w:tcBorders>
            <w:shd w:fill="F2F2F2" w:color="auto" w:val="clear"/>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Overloaded (Red)</w:t>
            </w:r>
          </w:p>
        </w:tc>
        <w:tc>
          <w:tcPr>
            <w:tcW w:type="dxa" w:w="2600"/>
            <w:tcBorders>
              <w:top w:val="single" w:color="7F9DBF" w:sz="6"/>
              <w:left w:val="single" w:color="7F9DBF" w:sz="6"/>
              <w:bottom w:val="single" w:color="7F9DBF" w:sz="6"/>
              <w:right w:val="single" w:color="7F9DBF" w:sz="6"/>
            </w:tcBorders>
            <w:shd w:fill="F2F2F2" w:color="auto" w:val="clear"/>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More than 16 hours</w:t>
            </w:r>
          </w:p>
        </w:tc>
        <w:tc>
          <w:tcPr>
            <w:tcW w:type="dxa" w:w="4126"/>
            <w:tcBorders>
              <w:top w:val="single" w:color="7F9DBF" w:sz="6"/>
              <w:left w:val="single" w:color="7F9DBF" w:sz="6"/>
              <w:bottom w:val="single" w:color="7F9DBF" w:sz="6"/>
              <w:right w:val="single" w:color="7F9DBF" w:sz="6"/>
            </w:tcBorders>
            <w:shd w:fill="F2F2F2" w:color="auto" w:val="clear"/>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Exceeds the permitted threshold</w:t>
            </w:r>
          </w:p>
        </w:tc>
      </w:tr>
      <w:tr>
        <w:trPr>
          <w:cantSplit/>
        </w:trPr>
        <w:tc>
          <w:tcPr>
            <w:tcW w:type="dxa" w:w="2300"/>
            <w:tcBorders>
              <w:top w:val="single" w:color="7F9DBF" w:sz="6"/>
              <w:left w:val="single" w:color="7F9DBF" w:sz="6"/>
              <w:bottom w:val="single" w:color="7F9DBF" w:sz="6"/>
              <w:right w:val="single" w:color="7F9DBF" w:sz="6"/>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1"/>
                <w:szCs w:val="21"/>
              </w:rPr>
              <w:t xml:space="preserve">Underloaded (Amber)</w:t>
            </w:r>
          </w:p>
        </w:tc>
        <w:tc>
          <w:tcPr>
            <w:tcW w:type="dxa" w:w="2600"/>
            <w:tcBorders>
              <w:top w:val="single" w:color="7F9DBF" w:sz="6"/>
              <w:left w:val="single" w:color="7F9DBF" w:sz="6"/>
              <w:bottom w:val="single" w:color="7F9DBF" w:sz="6"/>
              <w:right w:val="single" w:color="7F9DBF" w:sz="6"/>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1"/>
                <w:szCs w:val="21"/>
              </w:rPr>
              <w:t xml:space="preserve">Fewer than 11 hours</w:t>
            </w:r>
          </w:p>
        </w:tc>
        <w:tc>
          <w:tcPr>
            <w:tcW w:type="dxa" w:w="4126"/>
            <w:tcBorders>
              <w:top w:val="single" w:color="7F9DBF" w:sz="6"/>
              <w:left w:val="single" w:color="7F9DBF" w:sz="6"/>
              <w:bottom w:val="single" w:color="7F9DBF" w:sz="6"/>
              <w:right w:val="single" w:color="7F9DBF" w:sz="6"/>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1"/>
                <w:szCs w:val="21"/>
              </w:rPr>
              <w:t xml:space="preserve">Available teaching capacity</w:t>
            </w:r>
          </w:p>
        </w:tc>
      </w:tr>
    </w:tbl>
    <w:p>
      <w:pPr>
        <w:spacing w:after="220" w:before="80" w:line="300"/>
        <w:jc w:val="center"/>
      </w:pPr>
      <w:r>
        <w:rPr>
          <w:rFonts w:ascii="Calibri" w:cs="Calibri" w:eastAsia="Calibri" w:hAnsi="Calibri"/>
          <w:i/>
          <w:iCs/>
          <w:color w:val="595959"/>
          <w:sz w:val="20"/>
          <w:szCs w:val="20"/>
        </w:rPr>
        <w:t xml:space="preserve">Table 2: Workload classification</w:t>
      </w:r>
    </w:p>
    <w:p>
      <w:pPr>
        <w:spacing w:after="140" w:before="0" w:line="300"/>
        <w:jc w:val="both"/>
      </w:pPr>
      <w:r>
        <w:rPr>
          <w:rFonts w:ascii="Calibri" w:cs="Calibri" w:eastAsia="Calibri" w:hAnsi="Calibri"/>
        </w:rPr>
        <w:t xml:space="preserve">An automated recommendation engine detects overloaded faculty and suggests peers in the same department who have spare capacity to take over course reassignments.</w:t>
      </w:r>
    </w:p>
    <w:p>
      <w:pPr>
        <w:pStyle w:val="Heading2"/>
      </w:pPr>
      <w:r>
        <w:t xml:space="preserve">3.5 Interactive Timetable Matrix</w:t>
      </w:r>
    </w:p>
    <w:p>
      <w:pPr>
        <w:spacing w:after="140" w:before="0" w:line="300"/>
        <w:jc w:val="both"/>
      </w:pPr>
      <w:r>
        <w:rPr>
          <w:rFonts w:ascii="Calibri" w:cs="Calibri" w:eastAsia="Calibri" w:hAnsi="Calibri"/>
        </w:rPr>
        <w:t xml:space="preserve">The timetable is displayed as a weekly grid with days from Monday to Saturday and one-hour slots from 9:00 AM to 5:00 PM, with the 1:00 PM to 2:00 PM lunch break clearly marked. It supports three viewing modes:</w:t>
      </w:r>
    </w:p>
    <w:p>
      <w:pPr>
        <w:pStyle w:val="ListParagraph"/>
        <w:numPr>
          <w:ilvl w:val="0"/>
          <w:numId w:val="2"/>
        </w:numPr>
        <w:spacing w:after="80" w:line="290"/>
        <w:jc w:val="left"/>
      </w:pPr>
      <w:r>
        <w:rPr>
          <w:rFonts w:ascii="Calibri" w:cs="Calibri" w:eastAsia="Calibri" w:hAnsi="Calibri"/>
          <w:b/>
          <w:bCs/>
        </w:rPr>
        <w:t xml:space="preserve">By Section: </w:t>
      </w:r>
      <w:r>
        <w:rPr>
          <w:rFonts w:ascii="Calibri" w:cs="Calibri" w:eastAsia="Calibri" w:hAnsi="Calibri"/>
        </w:rPr>
        <w:t xml:space="preserve">schedules for sections such as CSE 5A, CSE 5B, AIML 5A and ECE 5A.</w:t>
      </w:r>
    </w:p>
    <w:p>
      <w:pPr>
        <w:pStyle w:val="ListParagraph"/>
        <w:numPr>
          <w:ilvl w:val="0"/>
          <w:numId w:val="2"/>
        </w:numPr>
        <w:spacing w:after="80" w:line="290"/>
        <w:jc w:val="left"/>
      </w:pPr>
      <w:r>
        <w:rPr>
          <w:rFonts w:ascii="Calibri" w:cs="Calibri" w:eastAsia="Calibri" w:hAnsi="Calibri"/>
          <w:b/>
          <w:bCs/>
        </w:rPr>
        <w:t xml:space="preserve">By Faculty: </w:t>
      </w:r>
      <w:r>
        <w:rPr>
          <w:rFonts w:ascii="Calibri" w:cs="Calibri" w:eastAsia="Calibri" w:hAnsi="Calibri"/>
        </w:rPr>
        <w:t xml:space="preserve">a personalized timetable for any instructor.</w:t>
      </w:r>
    </w:p>
    <w:p>
      <w:pPr>
        <w:pStyle w:val="ListParagraph"/>
        <w:numPr>
          <w:ilvl w:val="0"/>
          <w:numId w:val="2"/>
        </w:numPr>
        <w:spacing w:after="80" w:line="290"/>
        <w:jc w:val="left"/>
      </w:pPr>
      <w:r>
        <w:rPr>
          <w:rFonts w:ascii="Calibri" w:cs="Calibri" w:eastAsia="Calibri" w:hAnsi="Calibri"/>
          <w:b/>
          <w:bCs/>
        </w:rPr>
        <w:t xml:space="preserve">By Room: </w:t>
      </w:r>
      <w:r>
        <w:rPr>
          <w:rFonts w:ascii="Calibri" w:cs="Calibri" w:eastAsia="Calibri" w:hAnsi="Calibri"/>
        </w:rPr>
        <w:t xml:space="preserve">occupancy schedules for lecture halls and computer labs.</w:t>
      </w:r>
    </w:p>
    <w:p>
      <w:pPr>
        <w:pStyle w:val="Heading2"/>
      </w:pPr>
      <w:r>
        <w:t xml:space="preserve">3.6 Real-Time Conflict Detection Engine</w:t>
      </w:r>
    </w:p>
    <w:p>
      <w:pPr>
        <w:spacing w:after="140" w:before="0" w:line="300"/>
        <w:jc w:val="both"/>
      </w:pPr>
      <w:r>
        <w:rPr>
          <w:rFonts w:ascii="Calibri" w:cs="Calibri" w:eastAsia="Calibri" w:hAnsi="Calibri"/>
        </w:rPr>
        <w:t xml:space="preserve">Whenever a class is scheduled, the system validates it against the existing timetable and displays a warning banner describing the exact collision.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7F9DBF" w:sz="6"/>
              <w:left w:val="single" w:color="7F9DBF" w:sz="6"/>
              <w:bottom w:val="single" w:color="7F9DBF" w:sz="6"/>
              <w:right w:val="single" w:color="7F9DBF" w:sz="6"/>
            </w:tcBorders>
            <w:shd w:fill="1F3864" w:color="auto" w:val="clear"/>
            <w:tcMar>
              <w:top w:type="dxa" w:w="80"/>
              <w:left w:type="dxa" w:w="120"/>
              <w:bottom w:type="dxa" w:w="80"/>
              <w:right w:type="dxa" w:w="120"/>
            </w:tcMar>
            <w:vAlign w:val="center"/>
          </w:tcPr>
          <w:p>
            <w:pPr>
              <w:keepNext/>
              <w:jc w:val="left"/>
            </w:pPr>
            <w:r>
              <w:rPr>
                <w:rFonts w:ascii="Calibri" w:cs="Calibri" w:eastAsia="Calibri" w:hAnsi="Calibri"/>
                <w:b/>
                <w:bCs/>
                <w:color w:val="FFFFFF"/>
                <w:sz w:val="21"/>
                <w:szCs w:val="21"/>
              </w:rPr>
              <w:t xml:space="preserve">Conflict Type</w:t>
            </w:r>
          </w:p>
        </w:tc>
        <w:tc>
          <w:tcPr>
            <w:tcW w:type="dxa" w:w="6626"/>
            <w:tcBorders>
              <w:top w:val="single" w:color="7F9DBF" w:sz="6"/>
              <w:left w:val="single" w:color="7F9DBF" w:sz="6"/>
              <w:bottom w:val="single" w:color="7F9DBF" w:sz="6"/>
              <w:right w:val="single" w:color="7F9DBF" w:sz="6"/>
            </w:tcBorders>
            <w:shd w:fill="1F3864" w:color="auto" w:val="clear"/>
            <w:tcMar>
              <w:top w:type="dxa" w:w="80"/>
              <w:left w:type="dxa" w:w="120"/>
              <w:bottom w:type="dxa" w:w="80"/>
              <w:right w:type="dxa" w:w="120"/>
            </w:tcMar>
            <w:vAlign w:val="center"/>
          </w:tcPr>
          <w:p>
            <w:pPr>
              <w:keepNext/>
              <w:jc w:val="left"/>
            </w:pPr>
            <w:r>
              <w:rPr>
                <w:rFonts w:ascii="Calibri" w:cs="Calibri" w:eastAsia="Calibri" w:hAnsi="Calibri"/>
                <w:b/>
                <w:bCs/>
                <w:color w:val="FFFFFF"/>
                <w:sz w:val="21"/>
                <w:szCs w:val="21"/>
              </w:rPr>
              <w:t xml:space="preserve">Rule Enforced</w:t>
            </w:r>
          </w:p>
        </w:tc>
      </w:tr>
      <w:tr>
        <w:trPr>
          <w:cantSplit/>
        </w:trPr>
        <w:tc>
          <w:tcPr>
            <w:tcW w:type="dxa" w:w="2400"/>
            <w:tcBorders>
              <w:top w:val="single" w:color="7F9DBF" w:sz="6"/>
              <w:left w:val="single" w:color="7F9DBF" w:sz="6"/>
              <w:bottom w:val="single" w:color="7F9DBF" w:sz="6"/>
              <w:right w:val="single" w:color="7F9DBF" w:sz="6"/>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Faculty Clash</w:t>
            </w:r>
          </w:p>
        </w:tc>
        <w:tc>
          <w:tcPr>
            <w:tcW w:type="dxa" w:w="6626"/>
            <w:tcBorders>
              <w:top w:val="single" w:color="7F9DBF" w:sz="6"/>
              <w:left w:val="single" w:color="7F9DBF" w:sz="6"/>
              <w:bottom w:val="single" w:color="7F9DBF" w:sz="6"/>
              <w:right w:val="single" w:color="7F9DBF" w:sz="6"/>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An instructor cannot be assigned to two classes in the same time slot.</w:t>
            </w:r>
          </w:p>
        </w:tc>
      </w:tr>
      <w:tr>
        <w:trPr>
          <w:cantSplit/>
        </w:trPr>
        <w:tc>
          <w:tcPr>
            <w:tcW w:type="dxa" w:w="2400"/>
            <w:tcBorders>
              <w:top w:val="single" w:color="7F9DBF" w:sz="6"/>
              <w:left w:val="single" w:color="7F9DBF" w:sz="6"/>
              <w:bottom w:val="single" w:color="7F9DBF" w:sz="6"/>
              <w:right w:val="single" w:color="7F9DBF" w:sz="6"/>
            </w:tcBorders>
            <w:shd w:fill="F2F2F2" w:color="auto" w:val="clear"/>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Room Double-Booking</w:t>
            </w:r>
          </w:p>
        </w:tc>
        <w:tc>
          <w:tcPr>
            <w:tcW w:type="dxa" w:w="6626"/>
            <w:tcBorders>
              <w:top w:val="single" w:color="7F9DBF" w:sz="6"/>
              <w:left w:val="single" w:color="7F9DBF" w:sz="6"/>
              <w:bottom w:val="single" w:color="7F9DBF" w:sz="6"/>
              <w:right w:val="single" w:color="7F9DBF" w:sz="6"/>
            </w:tcBorders>
            <w:shd w:fill="F2F2F2" w:color="auto" w:val="clear"/>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A room or laboratory cannot host two classes at the same time.</w:t>
            </w:r>
          </w:p>
        </w:tc>
      </w:tr>
      <w:tr>
        <w:trPr>
          <w:cantSplit/>
        </w:trPr>
        <w:tc>
          <w:tcPr>
            <w:tcW w:type="dxa" w:w="2400"/>
            <w:tcBorders>
              <w:top w:val="single" w:color="7F9DBF" w:sz="6"/>
              <w:left w:val="single" w:color="7F9DBF" w:sz="6"/>
              <w:bottom w:val="single" w:color="7F9DBF" w:sz="6"/>
              <w:right w:val="single" w:color="7F9DBF" w:sz="6"/>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1"/>
                <w:szCs w:val="21"/>
              </w:rPr>
              <w:t xml:space="preserve">Section Overlap</w:t>
            </w:r>
          </w:p>
        </w:tc>
        <w:tc>
          <w:tcPr>
            <w:tcW w:type="dxa" w:w="6626"/>
            <w:tcBorders>
              <w:top w:val="single" w:color="7F9DBF" w:sz="6"/>
              <w:left w:val="single" w:color="7F9DBF" w:sz="6"/>
              <w:bottom w:val="single" w:color="7F9DBF" w:sz="6"/>
              <w:right w:val="single" w:color="7F9DBF" w:sz="6"/>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1"/>
                <w:szCs w:val="21"/>
              </w:rPr>
              <w:t xml:space="preserve">A student cohort cannot have two overlapping classes.</w:t>
            </w:r>
          </w:p>
        </w:tc>
      </w:tr>
    </w:tbl>
    <w:p>
      <w:pPr>
        <w:spacing w:after="220" w:before="80" w:line="300"/>
        <w:jc w:val="center"/>
      </w:pPr>
      <w:r>
        <w:rPr>
          <w:rFonts w:ascii="Calibri" w:cs="Calibri" w:eastAsia="Calibri" w:hAnsi="Calibri"/>
          <w:i/>
          <w:iCs/>
          <w:color w:val="595959"/>
          <w:sz w:val="20"/>
          <w:szCs w:val="20"/>
        </w:rPr>
        <w:t xml:space="preserve">Table 3: Timetable conflict rules</w:t>
      </w:r>
    </w:p>
    <w:p>
      <w:pPr>
        <w:pStyle w:val="Heading2"/>
      </w:pPr>
      <w:r>
        <w:t xml:space="preserve">3.7 Classroom and Laboratory Management</w:t>
      </w:r>
    </w:p>
    <w:p>
      <w:pPr>
        <w:spacing w:after="140" w:before="0" w:line="300"/>
        <w:jc w:val="both"/>
      </w:pPr>
      <w:r>
        <w:rPr>
          <w:rFonts w:ascii="Calibri" w:cs="Calibri" w:eastAsia="Calibri" w:hAnsi="Calibri"/>
        </w:rPr>
        <w:t xml:space="preserve">Room cards and an inventory cover lecture halls, computer labs, AI and data labs, and seminar halls. The module tracks seating capacity, building and floor location, projector or smart-board technology, live occupancy (Available or Occupied) and weekly utilization rate.</w:t>
      </w:r>
    </w:p>
    <w:p>
      <w:pPr>
        <w:keepNext/>
        <w:pBdr>
          <w:top w:val="single" w:color="7F9DBF" w:sz="6"/>
          <w:bottom w:val="single" w:color="7F9DBF" w:sz="6"/>
          <w:left w:val="single" w:color="7F9DBF" w:sz="6"/>
          <w:right w:val="single" w:color="7F9DBF" w:sz="6"/>
        </w:pBdr>
        <w:spacing w:after="60" w:before="160"/>
        <w:jc w:val="center"/>
      </w:pPr>
      <w:r>
        <w:drawing>
          <wp:inline distT="0" distB="0" distL="0" distR="0">
            <wp:extent cx="5429250" cy="2466975"/>
            <wp:effectExtent t="0" r="0" b="0" l="0"/>
            <wp:docPr id="1" name="fig4" descr="Classroom and Laboratory Management with live occupancy and utilization" title="Classroom and Laboratory Management with live occupancy and uti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29250" cy="2466975"/>
                    </a:xfrm>
                    <a:prstGeom prst="rect">
                      <a:avLst/>
                    </a:prstGeom>
                  </pic:spPr>
                </pic:pic>
              </a:graphicData>
            </a:graphic>
          </wp:inline>
        </w:drawing>
      </w:r>
    </w:p>
    <w:p>
      <w:pPr>
        <w:spacing w:after="220" w:before="0" w:line="300"/>
        <w:jc w:val="center"/>
      </w:pPr>
      <w:r>
        <w:rPr>
          <w:rFonts w:ascii="Calibri" w:cs="Calibri" w:eastAsia="Calibri" w:hAnsi="Calibri"/>
          <w:i/>
          <w:iCs/>
          <w:color w:val="595959"/>
          <w:sz w:val="20"/>
          <w:szCs w:val="20"/>
        </w:rPr>
        <w:t xml:space="preserve">Figure 4: Classroom and Laboratory Management with live occupancy and utilization</w:t>
      </w:r>
    </w:p>
    <w:p>
      <w:pPr>
        <w:pStyle w:val="Heading2"/>
      </w:pPr>
      <w:r>
        <w:t xml:space="preserve">3.8 Academic Departments</w:t>
      </w:r>
    </w:p>
    <w:p>
      <w:pPr>
        <w:spacing w:after="140" w:before="0" w:line="300"/>
        <w:jc w:val="both"/>
      </w:pPr>
      <w:r>
        <w:rPr>
          <w:rFonts w:ascii="Calibri" w:cs="Calibri" w:eastAsia="Calibri" w:hAnsi="Calibri"/>
        </w:rPr>
        <w:t xml:space="preserve">Institutional profiles for CSE, AI &amp; ML, ECE and Mathematics present the Head of Department, the enrolled student body, the faculty roster and the aggregate departmental workload average.</w:t>
      </w:r>
    </w:p>
    <w:p>
      <w:pPr>
        <w:pStyle w:val="Heading2"/>
      </w:pPr>
      <w:r>
        <w:t xml:space="preserve">3.9 Reports and Document Exports</w:t>
      </w:r>
    </w:p>
    <w:p>
      <w:pPr>
        <w:spacing w:after="140" w:before="0" w:line="300"/>
        <w:jc w:val="both"/>
      </w:pPr>
      <w:r>
        <w:rPr>
          <w:rFonts w:ascii="Calibri" w:cs="Calibri" w:eastAsia="Calibri" w:hAnsi="Calibri"/>
        </w:rPr>
        <w:t xml:space="preserve">A report generator produces four audit documents:</w:t>
      </w:r>
    </w:p>
    <w:p>
      <w:pPr>
        <w:pStyle w:val="ListParagraph"/>
        <w:numPr>
          <w:ilvl w:val="0"/>
          <w:numId w:val="2"/>
        </w:numPr>
        <w:spacing w:after="80" w:line="290"/>
        <w:jc w:val="left"/>
      </w:pPr>
      <w:r>
        <w:rPr>
          <w:rFonts w:ascii="Calibri" w:cs="Calibri" w:eastAsia="Calibri" w:hAnsi="Calibri"/>
        </w:rPr>
        <w:t xml:space="preserve">Faculty Workload Compliance Report</w:t>
      </w:r>
    </w:p>
    <w:p>
      <w:pPr>
        <w:pStyle w:val="ListParagraph"/>
        <w:numPr>
          <w:ilvl w:val="0"/>
          <w:numId w:val="2"/>
        </w:numPr>
        <w:spacing w:after="80" w:line="290"/>
        <w:jc w:val="left"/>
      </w:pPr>
      <w:r>
        <w:rPr>
          <w:rFonts w:ascii="Calibri" w:cs="Calibri" w:eastAsia="Calibri" w:hAnsi="Calibri"/>
        </w:rPr>
        <w:t xml:space="preserve">Departmental Academic Load Summary</w:t>
      </w:r>
    </w:p>
    <w:p>
      <w:pPr>
        <w:pStyle w:val="ListParagraph"/>
        <w:numPr>
          <w:ilvl w:val="0"/>
          <w:numId w:val="2"/>
        </w:numPr>
        <w:spacing w:after="80" w:line="290"/>
        <w:jc w:val="left"/>
      </w:pPr>
      <w:r>
        <w:rPr>
          <w:rFonts w:ascii="Calibri" w:cs="Calibri" w:eastAsia="Calibri" w:hAnsi="Calibri"/>
        </w:rPr>
        <w:t xml:space="preserve">Master Timetable Digest</w:t>
      </w:r>
    </w:p>
    <w:p>
      <w:pPr>
        <w:pStyle w:val="ListParagraph"/>
        <w:numPr>
          <w:ilvl w:val="0"/>
          <w:numId w:val="2"/>
        </w:numPr>
        <w:spacing w:after="80" w:line="290"/>
        <w:jc w:val="left"/>
      </w:pPr>
      <w:r>
        <w:rPr>
          <w:rFonts w:ascii="Calibri" w:cs="Calibri" w:eastAsia="Calibri" w:hAnsi="Calibri"/>
        </w:rPr>
        <w:t xml:space="preserve">Room Utilization Index</w:t>
      </w:r>
    </w:p>
    <w:p>
      <w:pPr>
        <w:spacing w:after="140" w:before="100" w:line="300"/>
        <w:jc w:val="both"/>
      </w:pPr>
      <w:r>
        <w:rPr>
          <w:rFonts w:ascii="Calibri" w:cs="Calibri" w:eastAsia="Calibri" w:hAnsi="Calibri"/>
        </w:rPr>
        <w:t xml:space="preserve">Reports can be exported with one click to CSV/Excel, or printed/saved as PDF using a clean print stylesheet that hides navigation and optimizes tables for Letter and A4 paper.</w:t>
      </w:r>
    </w:p>
    <w:p>
      <w:pPr>
        <w:pStyle w:val="Heading2"/>
      </w:pPr>
      <w:r>
        <w:t xml:space="preserve">3.10 Notifications and Settings</w:t>
      </w:r>
    </w:p>
    <w:p>
      <w:pPr>
        <w:spacing w:after="140" w:before="0" w:line="300"/>
        <w:jc w:val="both"/>
      </w:pPr>
      <w:r>
        <w:rPr>
          <w:rFonts w:ascii="Calibri" w:cs="Calibri" w:eastAsia="Calibri" w:hAnsi="Calibri"/>
        </w:rPr>
        <w:t xml:space="preserve">A notification inbox surfaces priority alerts, while the settings module manages university parameters and workload rules and provides a Reset Sample Data option that restores the original seed database.</w:t>
      </w:r>
    </w:p>
    <w:p>
      <w:pPr>
        <w:pStyle w:val="Heading1"/>
      </w:pPr>
      <w:r>
        <w:t xml:space="preserve">4. Database Design (DBMS Component)</w:t>
      </w:r>
    </w:p>
    <w:p>
      <w:pPr>
        <w:spacing w:after="140" w:before="0" w:line="300"/>
        <w:jc w:val="both"/>
      </w:pPr>
      <w:r>
        <w:rPr>
          <w:rFonts w:ascii="Calibri" w:cs="Calibri" w:eastAsia="Calibri" w:hAnsi="Calibri"/>
        </w:rPr>
        <w:t xml:space="preserve">The portal doubles as a DBMS course showcase. Its data layer follows a Third Normal Form (3NF) relational model in which each entity has a primary key (PK) and relationships are enforced with foreign keys (FK).</w:t>
      </w:r>
    </w:p>
    <w:p>
      <w:pPr>
        <w:pStyle w:val="Heading2"/>
      </w:pPr>
      <w:r>
        <w:t xml:space="preserve">4.1 Relational Entities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7F9DBF" w:sz="6"/>
              <w:left w:val="single" w:color="7F9DBF" w:sz="6"/>
              <w:bottom w:val="single" w:color="7F9DBF" w:sz="6"/>
              <w:right w:val="single" w:color="7F9DBF" w:sz="6"/>
            </w:tcBorders>
            <w:shd w:fill="1F3864" w:color="auto" w:val="clear"/>
            <w:tcMar>
              <w:top w:type="dxa" w:w="80"/>
              <w:left w:type="dxa" w:w="120"/>
              <w:bottom w:type="dxa" w:w="80"/>
              <w:right w:type="dxa" w:w="120"/>
            </w:tcMar>
            <w:vAlign w:val="center"/>
          </w:tcPr>
          <w:p>
            <w:pPr>
              <w:keepNext/>
              <w:jc w:val="left"/>
            </w:pPr>
            <w:r>
              <w:rPr>
                <w:rFonts w:ascii="Calibri" w:cs="Calibri" w:eastAsia="Calibri" w:hAnsi="Calibri"/>
                <w:b/>
                <w:bCs/>
                <w:color w:val="FFFFFF"/>
                <w:sz w:val="21"/>
                <w:szCs w:val="21"/>
              </w:rPr>
              <w:t xml:space="preserve">Entity</w:t>
            </w:r>
          </w:p>
        </w:tc>
        <w:tc>
          <w:tcPr>
            <w:tcW w:type="dxa" w:w="6426"/>
            <w:tcBorders>
              <w:top w:val="single" w:color="7F9DBF" w:sz="6"/>
              <w:left w:val="single" w:color="7F9DBF" w:sz="6"/>
              <w:bottom w:val="single" w:color="7F9DBF" w:sz="6"/>
              <w:right w:val="single" w:color="7F9DBF" w:sz="6"/>
            </w:tcBorders>
            <w:shd w:fill="1F3864" w:color="auto" w:val="clear"/>
            <w:tcMar>
              <w:top w:type="dxa" w:w="80"/>
              <w:left w:type="dxa" w:w="120"/>
              <w:bottom w:type="dxa" w:w="80"/>
              <w:right w:type="dxa" w:w="120"/>
            </w:tcMar>
            <w:vAlign w:val="center"/>
          </w:tcPr>
          <w:p>
            <w:pPr>
              <w:keepNext/>
              <w:jc w:val="left"/>
            </w:pPr>
            <w:r>
              <w:rPr>
                <w:rFonts w:ascii="Calibri" w:cs="Calibri" w:eastAsia="Calibri" w:hAnsi="Calibri"/>
                <w:b/>
                <w:bCs/>
                <w:color w:val="FFFFFF"/>
                <w:sz w:val="21"/>
                <w:szCs w:val="21"/>
              </w:rPr>
              <w:t xml:space="preserve">Purpose</w:t>
            </w:r>
          </w:p>
        </w:tc>
      </w:tr>
      <w:tr>
        <w:trPr>
          <w:cantSplit/>
        </w:trPr>
        <w:tc>
          <w:tcPr>
            <w:tcW w:type="dxa" w:w="2600"/>
            <w:tcBorders>
              <w:top w:val="single" w:color="7F9DBF" w:sz="6"/>
              <w:left w:val="single" w:color="7F9DBF" w:sz="6"/>
              <w:bottom w:val="single" w:color="7F9DBF" w:sz="6"/>
              <w:right w:val="single" w:color="7F9DBF" w:sz="6"/>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DEPARTMENT</w:t>
            </w:r>
          </w:p>
        </w:tc>
        <w:tc>
          <w:tcPr>
            <w:tcW w:type="dxa" w:w="6426"/>
            <w:tcBorders>
              <w:top w:val="single" w:color="7F9DBF" w:sz="6"/>
              <w:left w:val="single" w:color="7F9DBF" w:sz="6"/>
              <w:bottom w:val="single" w:color="7F9DBF" w:sz="6"/>
              <w:right w:val="single" w:color="7F9DBF" w:sz="6"/>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Stores academic departments such as CSE, AI &amp; ML, ECE and Mathematics.</w:t>
            </w:r>
          </w:p>
        </w:tc>
      </w:tr>
      <w:tr>
        <w:trPr>
          <w:cantSplit/>
        </w:trPr>
        <w:tc>
          <w:tcPr>
            <w:tcW w:type="dxa" w:w="2600"/>
            <w:tcBorders>
              <w:top w:val="single" w:color="7F9DBF" w:sz="6"/>
              <w:left w:val="single" w:color="7F9DBF" w:sz="6"/>
              <w:bottom w:val="single" w:color="7F9DBF" w:sz="6"/>
              <w:right w:val="single" w:color="7F9DBF" w:sz="6"/>
            </w:tcBorders>
            <w:shd w:fill="F2F2F2" w:color="auto" w:val="clear"/>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FACULTY</w:t>
            </w:r>
          </w:p>
        </w:tc>
        <w:tc>
          <w:tcPr>
            <w:tcW w:type="dxa" w:w="6426"/>
            <w:tcBorders>
              <w:top w:val="single" w:color="7F9DBF" w:sz="6"/>
              <w:left w:val="single" w:color="7F9DBF" w:sz="6"/>
              <w:bottom w:val="single" w:color="7F9DBF" w:sz="6"/>
              <w:right w:val="single" w:color="7F9DBF" w:sz="6"/>
            </w:tcBorders>
            <w:shd w:fill="F2F2F2" w:color="auto" w:val="clear"/>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Stores instructors and their department, designation and maximum workload.</w:t>
            </w:r>
          </w:p>
        </w:tc>
      </w:tr>
      <w:tr>
        <w:trPr>
          <w:cantSplit/>
        </w:trPr>
        <w:tc>
          <w:tcPr>
            <w:tcW w:type="dxa" w:w="2600"/>
            <w:tcBorders>
              <w:top w:val="single" w:color="7F9DBF" w:sz="6"/>
              <w:left w:val="single" w:color="7F9DBF" w:sz="6"/>
              <w:bottom w:val="single" w:color="7F9DBF" w:sz="6"/>
              <w:right w:val="single" w:color="7F9DBF" w:sz="6"/>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SUBJECT</w:t>
            </w:r>
          </w:p>
        </w:tc>
        <w:tc>
          <w:tcPr>
            <w:tcW w:type="dxa" w:w="6426"/>
            <w:tcBorders>
              <w:top w:val="single" w:color="7F9DBF" w:sz="6"/>
              <w:left w:val="single" w:color="7F9DBF" w:sz="6"/>
              <w:bottom w:val="single" w:color="7F9DBF" w:sz="6"/>
              <w:right w:val="single" w:color="7F9DBF" w:sz="6"/>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Stores courses with code, credits, semester and L-T-P hours.</w:t>
            </w:r>
          </w:p>
        </w:tc>
      </w:tr>
      <w:tr>
        <w:trPr>
          <w:cantSplit/>
        </w:trPr>
        <w:tc>
          <w:tcPr>
            <w:tcW w:type="dxa" w:w="2600"/>
            <w:tcBorders>
              <w:top w:val="single" w:color="7F9DBF" w:sz="6"/>
              <w:left w:val="single" w:color="7F9DBF" w:sz="6"/>
              <w:bottom w:val="single" w:color="7F9DBF" w:sz="6"/>
              <w:right w:val="single" w:color="7F9DBF" w:sz="6"/>
            </w:tcBorders>
            <w:shd w:fill="F2F2F2" w:color="auto" w:val="clear"/>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ROOM</w:t>
            </w:r>
          </w:p>
        </w:tc>
        <w:tc>
          <w:tcPr>
            <w:tcW w:type="dxa" w:w="6426"/>
            <w:tcBorders>
              <w:top w:val="single" w:color="7F9DBF" w:sz="6"/>
              <w:left w:val="single" w:color="7F9DBF" w:sz="6"/>
              <w:bottom w:val="single" w:color="7F9DBF" w:sz="6"/>
              <w:right w:val="single" w:color="7F9DBF" w:sz="6"/>
            </w:tcBorders>
            <w:shd w:fill="F2F2F2" w:color="auto" w:val="clear"/>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Stores lecture halls, labs and seminar halls with capacity and facilities.</w:t>
            </w:r>
          </w:p>
        </w:tc>
      </w:tr>
      <w:tr>
        <w:trPr>
          <w:cantSplit/>
        </w:trPr>
        <w:tc>
          <w:tcPr>
            <w:tcW w:type="dxa" w:w="2600"/>
            <w:tcBorders>
              <w:top w:val="single" w:color="7F9DBF" w:sz="6"/>
              <w:left w:val="single" w:color="7F9DBF" w:sz="6"/>
              <w:bottom w:val="single" w:color="7F9DBF" w:sz="6"/>
              <w:right w:val="single" w:color="7F9DBF" w:sz="6"/>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CLASS_SECTION</w:t>
            </w:r>
          </w:p>
        </w:tc>
        <w:tc>
          <w:tcPr>
            <w:tcW w:type="dxa" w:w="6426"/>
            <w:tcBorders>
              <w:top w:val="single" w:color="7F9DBF" w:sz="6"/>
              <w:left w:val="single" w:color="7F9DBF" w:sz="6"/>
              <w:bottom w:val="single" w:color="7F9DBF" w:sz="6"/>
              <w:right w:val="single" w:color="7F9DBF" w:sz="6"/>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Stores student cohorts such as CSE 5A and AIML 5A.</w:t>
            </w:r>
          </w:p>
        </w:tc>
      </w:tr>
      <w:tr>
        <w:trPr>
          <w:cantSplit/>
        </w:trPr>
        <w:tc>
          <w:tcPr>
            <w:tcW w:type="dxa" w:w="2600"/>
            <w:tcBorders>
              <w:top w:val="single" w:color="7F9DBF" w:sz="6"/>
              <w:left w:val="single" w:color="7F9DBF" w:sz="6"/>
              <w:bottom w:val="single" w:color="7F9DBF" w:sz="6"/>
              <w:right w:val="single" w:color="7F9DBF" w:sz="6"/>
            </w:tcBorders>
            <w:shd w:fill="F2F2F2" w:color="auto" w:val="clear"/>
            <w:tcMar>
              <w:top w:type="dxa" w:w="80"/>
              <w:left w:type="dxa" w:w="120"/>
              <w:bottom w:type="dxa" w:w="80"/>
              <w:right w:type="dxa" w:w="120"/>
            </w:tcMar>
            <w:vAlign w:val="center"/>
          </w:tcPr>
          <w:p>
            <w:pPr>
              <w:keepNext w:val="false"/>
              <w:jc w:val="left"/>
            </w:pPr>
            <w:r>
              <w:rPr>
                <w:rFonts w:ascii="Calibri" w:cs="Calibri" w:eastAsia="Calibri" w:hAnsi="Calibri"/>
                <w:b w:val="false"/>
                <w:bCs w:val="false"/>
                <w:sz w:val="21"/>
                <w:szCs w:val="21"/>
              </w:rPr>
              <w:t xml:space="preserve">TIMETABLE_ENTRY</w:t>
            </w:r>
          </w:p>
        </w:tc>
        <w:tc>
          <w:tcPr>
            <w:tcW w:type="dxa" w:w="6426"/>
            <w:tcBorders>
              <w:top w:val="single" w:color="7F9DBF" w:sz="6"/>
              <w:left w:val="single" w:color="7F9DBF" w:sz="6"/>
              <w:bottom w:val="single" w:color="7F9DBF" w:sz="6"/>
              <w:right w:val="single" w:color="7F9DBF" w:sz="6"/>
            </w:tcBorders>
            <w:shd w:fill="F2F2F2" w:color="auto" w:val="clear"/>
            <w:tcMar>
              <w:top w:type="dxa" w:w="80"/>
              <w:left w:type="dxa" w:w="120"/>
              <w:bottom w:type="dxa" w:w="80"/>
              <w:right w:type="dxa" w:w="120"/>
            </w:tcMar>
            <w:vAlign w:val="center"/>
          </w:tcPr>
          <w:p>
            <w:pPr>
              <w:keepNext w:val="false"/>
              <w:jc w:val="left"/>
            </w:pPr>
            <w:r>
              <w:rPr>
                <w:rFonts w:ascii="Calibri" w:cs="Calibri" w:eastAsia="Calibri" w:hAnsi="Calibri"/>
                <w:b w:val="false"/>
                <w:bCs w:val="false"/>
                <w:sz w:val="21"/>
                <w:szCs w:val="21"/>
              </w:rPr>
              <w:t xml:space="preserve">Links faculty, subject, room, section, day and time slot for each scheduled class.</w:t>
            </w:r>
          </w:p>
        </w:tc>
      </w:tr>
    </w:tbl>
    <w:p>
      <w:pPr>
        <w:spacing w:after="220" w:before="80" w:line="300"/>
        <w:jc w:val="center"/>
      </w:pPr>
      <w:r>
        <w:rPr>
          <w:rFonts w:ascii="Calibri" w:cs="Calibri" w:eastAsia="Calibri" w:hAnsi="Calibri"/>
          <w:i/>
          <w:iCs/>
          <w:color w:val="595959"/>
          <w:sz w:val="20"/>
          <w:szCs w:val="20"/>
        </w:rPr>
        <w:t xml:space="preserve">Table 4: Core relational entities</w:t>
      </w:r>
    </w:p>
    <w:p>
      <w:pPr>
        <w:pStyle w:val="Heading2"/>
      </w:pPr>
      <w:r>
        <w:t xml:space="preserve">4.2 ANSI SQL DDL Script</w:t>
      </w:r>
    </w:p>
    <w:p>
      <w:pPr>
        <w:spacing w:after="140" w:before="0" w:line="300"/>
        <w:jc w:val="both"/>
      </w:pPr>
      <w:r>
        <w:rPr>
          <w:rFonts w:ascii="Calibri" w:cs="Calibri" w:eastAsia="Calibri" w:hAnsi="Calibri"/>
        </w:rPr>
        <w:t xml:space="preserve">The application provides a copyable ANSI SQL script that creates all tables and integrity constraints. The script is portable across MySQL, PostgreSQL and Oracle.</w:t>
      </w:r>
    </w:p>
    <w:p>
      <w:pPr>
        <w:pStyle w:val="Heading2"/>
      </w:pPr>
      <w:r>
        <w:t xml:space="preserve">4.3 Interactive SQL Query Simulator</w:t>
      </w:r>
    </w:p>
    <w:p>
      <w:pPr>
        <w:spacing w:after="140" w:before="0" w:line="300"/>
        <w:jc w:val="both"/>
      </w:pPr>
      <w:r>
        <w:rPr>
          <w:rFonts w:ascii="Calibri" w:cs="Calibri" w:eastAsia="Calibri" w:hAnsi="Calibri"/>
        </w:rPr>
        <w:t xml:space="preserve">The built-in simulator executes relational queries live against the project data. Three representative queries are provided.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426"/>
      </w:tblGrid>
      <w:tr>
        <w:trPr>
          <w:cantSplit/>
          <w:tblHeader/>
        </w:trPr>
        <w:tc>
          <w:tcPr>
            <w:tcW w:type="dxa" w:w="600"/>
            <w:tcBorders>
              <w:top w:val="single" w:color="7F9DBF" w:sz="6"/>
              <w:left w:val="single" w:color="7F9DBF" w:sz="6"/>
              <w:bottom w:val="single" w:color="7F9DBF" w:sz="6"/>
              <w:right w:val="single" w:color="7F9DBF" w:sz="6"/>
            </w:tcBorders>
            <w:shd w:fill="1F3864" w:color="auto" w:val="clear"/>
            <w:tcMar>
              <w:top w:type="dxa" w:w="80"/>
              <w:left w:type="dxa" w:w="120"/>
              <w:bottom w:type="dxa" w:w="80"/>
              <w:right w:type="dxa" w:w="120"/>
            </w:tcMar>
            <w:vAlign w:val="center"/>
          </w:tcPr>
          <w:p>
            <w:pPr>
              <w:keepNext/>
              <w:jc w:val="left"/>
            </w:pPr>
            <w:r>
              <w:rPr>
                <w:rFonts w:ascii="Calibri" w:cs="Calibri" w:eastAsia="Calibri" w:hAnsi="Calibri"/>
                <w:b/>
                <w:bCs/>
                <w:color w:val="FFFFFF"/>
                <w:sz w:val="21"/>
                <w:szCs w:val="21"/>
              </w:rPr>
              <w:t xml:space="preserve">No.</w:t>
            </w:r>
          </w:p>
        </w:tc>
        <w:tc>
          <w:tcPr>
            <w:tcW w:type="dxa" w:w="3000"/>
            <w:tcBorders>
              <w:top w:val="single" w:color="7F9DBF" w:sz="6"/>
              <w:left w:val="single" w:color="7F9DBF" w:sz="6"/>
              <w:bottom w:val="single" w:color="7F9DBF" w:sz="6"/>
              <w:right w:val="single" w:color="7F9DBF" w:sz="6"/>
            </w:tcBorders>
            <w:shd w:fill="1F3864" w:color="auto" w:val="clear"/>
            <w:tcMar>
              <w:top w:type="dxa" w:w="80"/>
              <w:left w:type="dxa" w:w="120"/>
              <w:bottom w:type="dxa" w:w="80"/>
              <w:right w:type="dxa" w:w="120"/>
            </w:tcMar>
            <w:vAlign w:val="center"/>
          </w:tcPr>
          <w:p>
            <w:pPr>
              <w:keepNext/>
              <w:jc w:val="left"/>
            </w:pPr>
            <w:r>
              <w:rPr>
                <w:rFonts w:ascii="Calibri" w:cs="Calibri" w:eastAsia="Calibri" w:hAnsi="Calibri"/>
                <w:b/>
                <w:bCs/>
                <w:color w:val="FFFFFF"/>
                <w:sz w:val="21"/>
                <w:szCs w:val="21"/>
              </w:rPr>
              <w:t xml:space="preserve">Query</w:t>
            </w:r>
          </w:p>
        </w:tc>
        <w:tc>
          <w:tcPr>
            <w:tcW w:type="dxa" w:w="5426"/>
            <w:tcBorders>
              <w:top w:val="single" w:color="7F9DBF" w:sz="6"/>
              <w:left w:val="single" w:color="7F9DBF" w:sz="6"/>
              <w:bottom w:val="single" w:color="7F9DBF" w:sz="6"/>
              <w:right w:val="single" w:color="7F9DBF" w:sz="6"/>
            </w:tcBorders>
            <w:shd w:fill="1F3864" w:color="auto" w:val="clear"/>
            <w:tcMar>
              <w:top w:type="dxa" w:w="80"/>
              <w:left w:type="dxa" w:w="120"/>
              <w:bottom w:type="dxa" w:w="80"/>
              <w:right w:type="dxa" w:w="120"/>
            </w:tcMar>
            <w:vAlign w:val="center"/>
          </w:tcPr>
          <w:p>
            <w:pPr>
              <w:keepNext/>
              <w:jc w:val="left"/>
            </w:pPr>
            <w:r>
              <w:rPr>
                <w:rFonts w:ascii="Calibri" w:cs="Calibri" w:eastAsia="Calibri" w:hAnsi="Calibri"/>
                <w:b/>
                <w:bCs/>
                <w:color w:val="FFFFFF"/>
                <w:sz w:val="21"/>
                <w:szCs w:val="21"/>
              </w:rPr>
              <w:t xml:space="preserve">SQL Concept Demonstrated</w:t>
            </w:r>
          </w:p>
        </w:tc>
      </w:tr>
      <w:tr>
        <w:trPr>
          <w:cantSplit/>
        </w:trPr>
        <w:tc>
          <w:tcPr>
            <w:tcW w:type="dxa" w:w="600"/>
            <w:tcBorders>
              <w:top w:val="single" w:color="7F9DBF" w:sz="6"/>
              <w:left w:val="single" w:color="7F9DBF" w:sz="6"/>
              <w:bottom w:val="single" w:color="7F9DBF" w:sz="6"/>
              <w:right w:val="single" w:color="7F9DBF" w:sz="6"/>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1</w:t>
            </w:r>
          </w:p>
        </w:tc>
        <w:tc>
          <w:tcPr>
            <w:tcW w:type="dxa" w:w="3000"/>
            <w:tcBorders>
              <w:top w:val="single" w:color="7F9DBF" w:sz="6"/>
              <w:left w:val="single" w:color="7F9DBF" w:sz="6"/>
              <w:bottom w:val="single" w:color="7F9DBF" w:sz="6"/>
              <w:right w:val="single" w:color="7F9DBF" w:sz="6"/>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Faculty Workload Aggregation</w:t>
            </w:r>
          </w:p>
        </w:tc>
        <w:tc>
          <w:tcPr>
            <w:tcW w:type="dxa" w:w="5426"/>
            <w:tcBorders>
              <w:top w:val="single" w:color="7F9DBF" w:sz="6"/>
              <w:left w:val="single" w:color="7F9DBF" w:sz="6"/>
              <w:bottom w:val="single" w:color="7F9DBF" w:sz="6"/>
              <w:right w:val="single" w:color="7F9DBF" w:sz="6"/>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GROUP BY with HAVING to total weekly hours per instructor and filter by threshold</w:t>
            </w:r>
          </w:p>
        </w:tc>
      </w:tr>
      <w:tr>
        <w:trPr>
          <w:cantSplit/>
        </w:trPr>
        <w:tc>
          <w:tcPr>
            <w:tcW w:type="dxa" w:w="600"/>
            <w:tcBorders>
              <w:top w:val="single" w:color="7F9DBF" w:sz="6"/>
              <w:left w:val="single" w:color="7F9DBF" w:sz="6"/>
              <w:bottom w:val="single" w:color="7F9DBF" w:sz="6"/>
              <w:right w:val="single" w:color="7F9DBF" w:sz="6"/>
            </w:tcBorders>
            <w:shd w:fill="F2F2F2" w:color="auto" w:val="clear"/>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2</w:t>
            </w:r>
          </w:p>
        </w:tc>
        <w:tc>
          <w:tcPr>
            <w:tcW w:type="dxa" w:w="3000"/>
            <w:tcBorders>
              <w:top w:val="single" w:color="7F9DBF" w:sz="6"/>
              <w:left w:val="single" w:color="7F9DBF" w:sz="6"/>
              <w:bottom w:val="single" w:color="7F9DBF" w:sz="6"/>
              <w:right w:val="single" w:color="7F9DBF" w:sz="6"/>
            </w:tcBorders>
            <w:shd w:fill="F2F2F2" w:color="auto" w:val="clear"/>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Room Collision Detection</w:t>
            </w:r>
          </w:p>
        </w:tc>
        <w:tc>
          <w:tcPr>
            <w:tcW w:type="dxa" w:w="5426"/>
            <w:tcBorders>
              <w:top w:val="single" w:color="7F9DBF" w:sz="6"/>
              <w:left w:val="single" w:color="7F9DBF" w:sz="6"/>
              <w:bottom w:val="single" w:color="7F9DBF" w:sz="6"/>
              <w:right w:val="single" w:color="7F9DBF" w:sz="6"/>
            </w:tcBorders>
            <w:shd w:fill="F2F2F2" w:color="auto" w:val="clear"/>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SELF JOIN on the timetable to find rooms booked twice in the same slot</w:t>
            </w:r>
          </w:p>
        </w:tc>
      </w:tr>
      <w:tr>
        <w:trPr>
          <w:cantSplit/>
        </w:trPr>
        <w:tc>
          <w:tcPr>
            <w:tcW w:type="dxa" w:w="600"/>
            <w:tcBorders>
              <w:top w:val="single" w:color="7F9DBF" w:sz="6"/>
              <w:left w:val="single" w:color="7F9DBF" w:sz="6"/>
              <w:bottom w:val="single" w:color="7F9DBF" w:sz="6"/>
              <w:right w:val="single" w:color="7F9DBF" w:sz="6"/>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1"/>
                <w:szCs w:val="21"/>
              </w:rPr>
              <w:t xml:space="preserve">3</w:t>
            </w:r>
          </w:p>
        </w:tc>
        <w:tc>
          <w:tcPr>
            <w:tcW w:type="dxa" w:w="3000"/>
            <w:tcBorders>
              <w:top w:val="single" w:color="7F9DBF" w:sz="6"/>
              <w:left w:val="single" w:color="7F9DBF" w:sz="6"/>
              <w:bottom w:val="single" w:color="7F9DBF" w:sz="6"/>
              <w:right w:val="single" w:color="7F9DBF" w:sz="6"/>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1"/>
                <w:szCs w:val="21"/>
              </w:rPr>
              <w:t xml:space="preserve">Department Resource JOIN</w:t>
            </w:r>
          </w:p>
        </w:tc>
        <w:tc>
          <w:tcPr>
            <w:tcW w:type="dxa" w:w="5426"/>
            <w:tcBorders>
              <w:top w:val="single" w:color="7F9DBF" w:sz="6"/>
              <w:left w:val="single" w:color="7F9DBF" w:sz="6"/>
              <w:bottom w:val="single" w:color="7F9DBF" w:sz="6"/>
              <w:right w:val="single" w:color="7F9DBF" w:sz="6"/>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1"/>
                <w:szCs w:val="21"/>
              </w:rPr>
              <w:t xml:space="preserve">Multi-table JOIN combining departments, faculty and subjects</w:t>
            </w:r>
          </w:p>
        </w:tc>
      </w:tr>
    </w:tbl>
    <w:p>
      <w:pPr>
        <w:spacing w:after="220" w:before="80" w:line="300"/>
        <w:jc w:val="center"/>
      </w:pPr>
      <w:r>
        <w:rPr>
          <w:rFonts w:ascii="Calibri" w:cs="Calibri" w:eastAsia="Calibri" w:hAnsi="Calibri"/>
          <w:i/>
          <w:iCs/>
          <w:color w:val="595959"/>
          <w:sz w:val="20"/>
          <w:szCs w:val="20"/>
        </w:rPr>
        <w:t xml:space="preserve">Table 5: Sample SQL queries</w:t>
      </w:r>
    </w:p>
    <w:p>
      <w:pPr>
        <w:pStyle w:val="Heading1"/>
      </w:pPr>
      <w:r>
        <w:t xml:space="preserve">5. Role-Based Access Control</w:t>
      </w:r>
    </w:p>
    <w:p>
      <w:pPr>
        <w:spacing w:after="140" w:before="0" w:line="300"/>
        <w:jc w:val="both"/>
      </w:pPr>
      <w:r>
        <w:rPr>
          <w:rFonts w:ascii="Calibri" w:cs="Calibri" w:eastAsia="Calibri" w:hAnsi="Calibri"/>
        </w:rPr>
        <w:t xml:space="preserve">Users can switch roles from the header selector. Each role sees only the modules relevant to its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7F9DBF" w:sz="6"/>
              <w:left w:val="single" w:color="7F9DBF" w:sz="6"/>
              <w:bottom w:val="single" w:color="7F9DBF" w:sz="6"/>
              <w:right w:val="single" w:color="7F9DBF" w:sz="6"/>
            </w:tcBorders>
            <w:shd w:fill="1F3864" w:color="auto" w:val="clear"/>
            <w:tcMar>
              <w:top w:type="dxa" w:w="80"/>
              <w:left w:type="dxa" w:w="120"/>
              <w:bottom w:type="dxa" w:w="80"/>
              <w:right w:type="dxa" w:w="120"/>
            </w:tcMar>
            <w:vAlign w:val="center"/>
          </w:tcPr>
          <w:p>
            <w:pPr>
              <w:keepNext/>
              <w:jc w:val="left"/>
            </w:pPr>
            <w:r>
              <w:rPr>
                <w:rFonts w:ascii="Calibri" w:cs="Calibri" w:eastAsia="Calibri" w:hAnsi="Calibri"/>
                <w:b/>
                <w:bCs/>
                <w:color w:val="FFFFFF"/>
                <w:sz w:val="21"/>
                <w:szCs w:val="21"/>
              </w:rPr>
              <w:t xml:space="preserve">Role</w:t>
            </w:r>
          </w:p>
        </w:tc>
        <w:tc>
          <w:tcPr>
            <w:tcW w:type="dxa" w:w="6426"/>
            <w:tcBorders>
              <w:top w:val="single" w:color="7F9DBF" w:sz="6"/>
              <w:left w:val="single" w:color="7F9DBF" w:sz="6"/>
              <w:bottom w:val="single" w:color="7F9DBF" w:sz="6"/>
              <w:right w:val="single" w:color="7F9DBF" w:sz="6"/>
            </w:tcBorders>
            <w:shd w:fill="1F3864" w:color="auto" w:val="clear"/>
            <w:tcMar>
              <w:top w:type="dxa" w:w="80"/>
              <w:left w:type="dxa" w:w="120"/>
              <w:bottom w:type="dxa" w:w="80"/>
              <w:right w:type="dxa" w:w="120"/>
            </w:tcMar>
            <w:vAlign w:val="center"/>
          </w:tcPr>
          <w:p>
            <w:pPr>
              <w:keepNext/>
              <w:jc w:val="left"/>
            </w:pPr>
            <w:r>
              <w:rPr>
                <w:rFonts w:ascii="Calibri" w:cs="Calibri" w:eastAsia="Calibri" w:hAnsi="Calibri"/>
                <w:b/>
                <w:bCs/>
                <w:color w:val="FFFFFF"/>
                <w:sz w:val="21"/>
                <w:szCs w:val="21"/>
              </w:rPr>
              <w:t xml:space="preserve">Access</w:t>
            </w:r>
          </w:p>
        </w:tc>
      </w:tr>
      <w:tr>
        <w:trPr>
          <w:cantSplit/>
        </w:trPr>
        <w:tc>
          <w:tcPr>
            <w:tcW w:type="dxa" w:w="2600"/>
            <w:tcBorders>
              <w:top w:val="single" w:color="7F9DBF" w:sz="6"/>
              <w:left w:val="single" w:color="7F9DBF" w:sz="6"/>
              <w:bottom w:val="single" w:color="7F9DBF" w:sz="6"/>
              <w:right w:val="single" w:color="7F9DBF" w:sz="6"/>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Central Admin (Dean)</w:t>
            </w:r>
          </w:p>
        </w:tc>
        <w:tc>
          <w:tcPr>
            <w:tcW w:type="dxa" w:w="6426"/>
            <w:tcBorders>
              <w:top w:val="single" w:color="7F9DBF" w:sz="6"/>
              <w:left w:val="single" w:color="7F9DBF" w:sz="6"/>
              <w:bottom w:val="single" w:color="7F9DBF" w:sz="6"/>
              <w:right w:val="single" w:color="7F9DBF" w:sz="6"/>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Unrestricted access to all ten modules and the DBMS Schema Workbench.</w:t>
            </w:r>
          </w:p>
        </w:tc>
      </w:tr>
      <w:tr>
        <w:trPr>
          <w:cantSplit/>
        </w:trPr>
        <w:tc>
          <w:tcPr>
            <w:tcW w:type="dxa" w:w="2600"/>
            <w:tcBorders>
              <w:top w:val="single" w:color="7F9DBF" w:sz="6"/>
              <w:left w:val="single" w:color="7F9DBF" w:sz="6"/>
              <w:bottom w:val="single" w:color="7F9DBF" w:sz="6"/>
              <w:right w:val="single" w:color="7F9DBF" w:sz="6"/>
            </w:tcBorders>
            <w:shd w:fill="F2F2F2" w:color="auto" w:val="clear"/>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Department Coordinator (CSE)</w:t>
            </w:r>
          </w:p>
        </w:tc>
        <w:tc>
          <w:tcPr>
            <w:tcW w:type="dxa" w:w="6426"/>
            <w:tcBorders>
              <w:top w:val="single" w:color="7F9DBF" w:sz="6"/>
              <w:left w:val="single" w:color="7F9DBF" w:sz="6"/>
              <w:bottom w:val="single" w:color="7F9DBF" w:sz="6"/>
              <w:right w:val="single" w:color="7F9DBF" w:sz="6"/>
            </w:tcBorders>
            <w:shd w:fill="F2F2F2" w:color="auto" w:val="clear"/>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Department-focused management of faculty, workloads, timetables and reports.</w:t>
            </w:r>
          </w:p>
        </w:tc>
      </w:tr>
      <w:tr>
        <w:trPr>
          <w:cantSplit/>
        </w:trPr>
        <w:tc>
          <w:tcPr>
            <w:tcW w:type="dxa" w:w="2600"/>
            <w:tcBorders>
              <w:top w:val="single" w:color="7F9DBF" w:sz="6"/>
              <w:left w:val="single" w:color="7F9DBF" w:sz="6"/>
              <w:bottom w:val="single" w:color="7F9DBF" w:sz="6"/>
              <w:right w:val="single" w:color="7F9DBF" w:sz="6"/>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1"/>
                <w:szCs w:val="21"/>
              </w:rPr>
              <w:t xml:space="preserve">Faculty Member</w:t>
            </w:r>
          </w:p>
        </w:tc>
        <w:tc>
          <w:tcPr>
            <w:tcW w:type="dxa" w:w="6426"/>
            <w:tcBorders>
              <w:top w:val="single" w:color="7F9DBF" w:sz="6"/>
              <w:left w:val="single" w:color="7F9DBF" w:sz="6"/>
              <w:bottom w:val="single" w:color="7F9DBF" w:sz="6"/>
              <w:right w:val="single" w:color="7F9DBF" w:sz="6"/>
            </w:tcBorders>
            <w:tcMar>
              <w:top w:type="dxa" w:w="80"/>
              <w:left w:type="dxa" w:w="120"/>
              <w:bottom w:type="dxa" w:w="80"/>
              <w:right w:type="dxa" w:w="120"/>
            </w:tcMar>
            <w:vAlign w:val="center"/>
          </w:tcPr>
          <w:p>
            <w:pPr>
              <w:keepNext w:val="false"/>
              <w:jc w:val="left"/>
            </w:pPr>
            <w:r>
              <w:rPr>
                <w:rFonts w:ascii="Calibri" w:cs="Calibri" w:eastAsia="Calibri" w:hAnsi="Calibri"/>
                <w:b w:val="false"/>
                <w:bCs w:val="false"/>
                <w:sz w:val="21"/>
                <w:szCs w:val="21"/>
              </w:rPr>
              <w:t xml:space="preserve">Personal portal with My Dashboard, My Timetable, My Workload and My Subjects.</w:t>
            </w:r>
          </w:p>
        </w:tc>
      </w:tr>
    </w:tbl>
    <w:p>
      <w:pPr>
        <w:spacing w:after="220" w:before="80" w:line="300"/>
        <w:jc w:val="center"/>
      </w:pPr>
      <w:r>
        <w:rPr>
          <w:rFonts w:ascii="Calibri" w:cs="Calibri" w:eastAsia="Calibri" w:hAnsi="Calibri"/>
          <w:i/>
          <w:iCs/>
          <w:color w:val="595959"/>
          <w:sz w:val="20"/>
          <w:szCs w:val="20"/>
        </w:rPr>
        <w:t xml:space="preserve">Table 6: User roles and permissions</w:t>
      </w:r>
    </w:p>
    <w:p>
      <w:pPr>
        <w:pStyle w:val="Heading1"/>
      </w:pPr>
      <w:r>
        <w:t xml:space="preserve">6. User Interface and Data Persistence</w:t>
      </w:r>
    </w:p>
    <w:p>
      <w:pPr>
        <w:pStyle w:val="ListParagraph"/>
        <w:numPr>
          <w:ilvl w:val="0"/>
          <w:numId w:val="2"/>
        </w:numPr>
        <w:spacing w:after="80" w:line="290"/>
        <w:jc w:val="left"/>
      </w:pPr>
      <w:r>
        <w:rPr>
          <w:rFonts w:ascii="Calibri" w:cs="Calibri" w:eastAsia="Calibri" w:hAnsi="Calibri"/>
          <w:b/>
          <w:bCs/>
        </w:rPr>
        <w:t xml:space="preserve">Theme: </w:t>
      </w:r>
      <w:r>
        <w:rPr>
          <w:rFonts w:ascii="Calibri" w:cs="Calibri" w:eastAsia="Calibri" w:hAnsi="Calibri"/>
        </w:rPr>
        <w:t xml:space="preserve">built-in dark and light modes with smooth transitions.</w:t>
      </w:r>
    </w:p>
    <w:p>
      <w:pPr>
        <w:pStyle w:val="ListParagraph"/>
        <w:numPr>
          <w:ilvl w:val="0"/>
          <w:numId w:val="2"/>
        </w:numPr>
        <w:spacing w:after="80" w:line="290"/>
        <w:jc w:val="left"/>
      </w:pPr>
      <w:r>
        <w:rPr>
          <w:rFonts w:ascii="Calibri" w:cs="Calibri" w:eastAsia="Calibri" w:hAnsi="Calibri"/>
          <w:b/>
          <w:bCs/>
        </w:rPr>
        <w:t xml:space="preserve">Responsiveness: </w:t>
      </w:r>
      <w:r>
        <w:rPr>
          <w:rFonts w:ascii="Calibri" w:cs="Calibri" w:eastAsia="Calibri" w:hAnsi="Calibri"/>
        </w:rPr>
        <w:t xml:space="preserve">layout adapts to desktop and smaller screens.</w:t>
      </w:r>
    </w:p>
    <w:p>
      <w:pPr>
        <w:pStyle w:val="ListParagraph"/>
        <w:numPr>
          <w:ilvl w:val="0"/>
          <w:numId w:val="2"/>
        </w:numPr>
        <w:spacing w:after="80" w:line="290"/>
        <w:jc w:val="left"/>
      </w:pPr>
      <w:r>
        <w:rPr>
          <w:rFonts w:ascii="Calibri" w:cs="Calibri" w:eastAsia="Calibri" w:hAnsi="Calibri"/>
          <w:b/>
          <w:bCs/>
        </w:rPr>
        <w:t xml:space="preserve">Persistence: </w:t>
      </w:r>
      <w:r>
        <w:rPr>
          <w:rFonts w:ascii="Calibri" w:cs="Calibri" w:eastAsia="Calibri" w:hAnsi="Calibri"/>
        </w:rPr>
        <w:t xml:space="preserve">all additions, edits and deletions are saved to localStorage and survive page reloads.</w:t>
      </w:r>
    </w:p>
    <w:p>
      <w:pPr>
        <w:pStyle w:val="ListParagraph"/>
        <w:numPr>
          <w:ilvl w:val="0"/>
          <w:numId w:val="2"/>
        </w:numPr>
        <w:spacing w:after="80" w:line="290"/>
        <w:jc w:val="left"/>
      </w:pPr>
      <w:r>
        <w:rPr>
          <w:rFonts w:ascii="Calibri" w:cs="Calibri" w:eastAsia="Calibri" w:hAnsi="Calibri"/>
          <w:b/>
          <w:bCs/>
        </w:rPr>
        <w:t xml:space="preserve">Reset: </w:t>
      </w:r>
      <w:r>
        <w:rPr>
          <w:rFonts w:ascii="Calibri" w:cs="Calibri" w:eastAsia="Calibri" w:hAnsi="Calibri"/>
        </w:rPr>
        <w:t xml:space="preserve">one-click Reset Sample Data in Settings restores the initial university database.</w:t>
      </w:r>
    </w:p>
    <w:p>
      <w:pPr>
        <w:pStyle w:val="ListParagraph"/>
        <w:numPr>
          <w:ilvl w:val="0"/>
          <w:numId w:val="2"/>
        </w:numPr>
        <w:spacing w:after="80" w:line="290"/>
        <w:jc w:val="left"/>
      </w:pPr>
      <w:r>
        <w:rPr>
          <w:rFonts w:ascii="Calibri" w:cs="Calibri" w:eastAsia="Calibri" w:hAnsi="Calibri"/>
          <w:b/>
          <w:bCs/>
        </w:rPr>
        <w:t xml:space="preserve">Feedback: </w:t>
      </w:r>
      <w:r>
        <w:rPr>
          <w:rFonts w:ascii="Calibri" w:cs="Calibri" w:eastAsia="Calibri" w:hAnsi="Calibri"/>
        </w:rPr>
        <w:t xml:space="preserve">toast notifications confirm actions, and validation errors appear inline in forms.</w:t>
      </w:r>
    </w:p>
    <w:p>
      <w:pPr>
        <w:pStyle w:val="Heading1"/>
      </w:pPr>
      <w:r>
        <w:t xml:space="preserve">7. Project Structure</w:t>
      </w:r>
    </w:p>
    <w:p>
      <w:pPr>
        <w:spacing w:after="140" w:before="0" w:line="300"/>
        <w:jc w:val="both"/>
      </w:pPr>
      <w:r>
        <w:rPr>
          <w:rFonts w:ascii="Calibri" w:cs="Calibri" w:eastAsia="Calibri" w:hAnsi="Calibri"/>
        </w:rPr>
        <w:t xml:space="preserve">The source code is organized into a main HTML file, three stylesheets and a set of JavaScript modules.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cantSplit/>
          <w:tblHeader/>
        </w:trPr>
        <w:tc>
          <w:tcPr>
            <w:tcW w:type="dxa" w:w="3300"/>
            <w:tcBorders>
              <w:top w:val="single" w:color="7F9DBF" w:sz="6"/>
              <w:left w:val="single" w:color="7F9DBF" w:sz="6"/>
              <w:bottom w:val="single" w:color="7F9DBF" w:sz="6"/>
              <w:right w:val="single" w:color="7F9DBF" w:sz="6"/>
            </w:tcBorders>
            <w:shd w:fill="1F3864" w:color="auto" w:val="clear"/>
            <w:tcMar>
              <w:top w:type="dxa" w:w="80"/>
              <w:left w:type="dxa" w:w="120"/>
              <w:bottom w:type="dxa" w:w="80"/>
              <w:right w:type="dxa" w:w="120"/>
            </w:tcMar>
            <w:vAlign w:val="center"/>
          </w:tcPr>
          <w:p>
            <w:pPr>
              <w:keepNext/>
              <w:jc w:val="left"/>
            </w:pPr>
            <w:r>
              <w:rPr>
                <w:rFonts w:ascii="Calibri" w:cs="Calibri" w:eastAsia="Calibri" w:hAnsi="Calibri"/>
                <w:b/>
                <w:bCs/>
                <w:color w:val="FFFFFF"/>
                <w:sz w:val="21"/>
                <w:szCs w:val="21"/>
              </w:rPr>
              <w:t xml:space="preserve">File</w:t>
            </w:r>
          </w:p>
        </w:tc>
        <w:tc>
          <w:tcPr>
            <w:tcW w:type="dxa" w:w="5726"/>
            <w:tcBorders>
              <w:top w:val="single" w:color="7F9DBF" w:sz="6"/>
              <w:left w:val="single" w:color="7F9DBF" w:sz="6"/>
              <w:bottom w:val="single" w:color="7F9DBF" w:sz="6"/>
              <w:right w:val="single" w:color="7F9DBF" w:sz="6"/>
            </w:tcBorders>
            <w:shd w:fill="1F3864" w:color="auto" w:val="clear"/>
            <w:tcMar>
              <w:top w:type="dxa" w:w="80"/>
              <w:left w:type="dxa" w:w="120"/>
              <w:bottom w:type="dxa" w:w="80"/>
              <w:right w:type="dxa" w:w="120"/>
            </w:tcMar>
            <w:vAlign w:val="center"/>
          </w:tcPr>
          <w:p>
            <w:pPr>
              <w:keepNext/>
              <w:jc w:val="left"/>
            </w:pPr>
            <w:r>
              <w:rPr>
                <w:rFonts w:ascii="Calibri" w:cs="Calibri" w:eastAsia="Calibri" w:hAnsi="Calibri"/>
                <w:b/>
                <w:bCs/>
                <w:color w:val="FFFFFF"/>
                <w:sz w:val="21"/>
                <w:szCs w:val="21"/>
              </w:rPr>
              <w:t xml:space="preserve">Responsibility</w:t>
            </w:r>
          </w:p>
        </w:tc>
      </w:tr>
      <w:tr>
        <w:trPr>
          <w:cantSplit/>
        </w:trPr>
        <w:tc>
          <w:tcPr>
            <w:tcW w:type="dxa" w:w="3300"/>
            <w:tcBorders>
              <w:top w:val="single" w:color="7F9DBF" w:sz="6"/>
              <w:left w:val="single" w:color="7F9DBF" w:sz="6"/>
              <w:bottom w:val="single" w:color="7F9DBF" w:sz="6"/>
              <w:right w:val="single" w:color="7F9DBF" w:sz="6"/>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index.html</w:t>
            </w:r>
          </w:p>
        </w:tc>
        <w:tc>
          <w:tcPr>
            <w:tcW w:type="dxa" w:w="5726"/>
            <w:tcBorders>
              <w:top w:val="single" w:color="7F9DBF" w:sz="6"/>
              <w:left w:val="single" w:color="7F9DBF" w:sz="6"/>
              <w:bottom w:val="single" w:color="7F9DBF" w:sz="6"/>
              <w:right w:val="single" w:color="7F9DBF" w:sz="6"/>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Application shell with header, sidebar and modals</w:t>
            </w:r>
          </w:p>
        </w:tc>
      </w:tr>
      <w:tr>
        <w:trPr>
          <w:cantSplit/>
        </w:trPr>
        <w:tc>
          <w:tcPr>
            <w:tcW w:type="dxa" w:w="3300"/>
            <w:tcBorders>
              <w:top w:val="single" w:color="7F9DBF" w:sz="6"/>
              <w:left w:val="single" w:color="7F9DBF" w:sz="6"/>
              <w:bottom w:val="single" w:color="7F9DBF" w:sz="6"/>
              <w:right w:val="single" w:color="7F9DBF" w:sz="6"/>
            </w:tcBorders>
            <w:shd w:fill="F2F2F2" w:color="auto" w:val="clear"/>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css/main.css</w:t>
            </w:r>
          </w:p>
        </w:tc>
        <w:tc>
          <w:tcPr>
            <w:tcW w:type="dxa" w:w="5726"/>
            <w:tcBorders>
              <w:top w:val="single" w:color="7F9DBF" w:sz="6"/>
              <w:left w:val="single" w:color="7F9DBF" w:sz="6"/>
              <w:bottom w:val="single" w:color="7F9DBF" w:sz="6"/>
              <w:right w:val="single" w:color="7F9DBF" w:sz="6"/>
            </w:tcBorders>
            <w:shd w:fill="F2F2F2" w:color="auto" w:val="clear"/>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Design tokens, cards, tables and dark mode</w:t>
            </w:r>
          </w:p>
        </w:tc>
      </w:tr>
      <w:tr>
        <w:trPr>
          <w:cantSplit/>
        </w:trPr>
        <w:tc>
          <w:tcPr>
            <w:tcW w:type="dxa" w:w="3300"/>
            <w:tcBorders>
              <w:top w:val="single" w:color="7F9DBF" w:sz="6"/>
              <w:left w:val="single" w:color="7F9DBF" w:sz="6"/>
              <w:bottom w:val="single" w:color="7F9DBF" w:sz="6"/>
              <w:right w:val="single" w:color="7F9DBF" w:sz="6"/>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css/timetable.css</w:t>
            </w:r>
          </w:p>
        </w:tc>
        <w:tc>
          <w:tcPr>
            <w:tcW w:type="dxa" w:w="5726"/>
            <w:tcBorders>
              <w:top w:val="single" w:color="7F9DBF" w:sz="6"/>
              <w:left w:val="single" w:color="7F9DBF" w:sz="6"/>
              <w:bottom w:val="single" w:color="7F9DBF" w:sz="6"/>
              <w:right w:val="single" w:color="7F9DBF" w:sz="6"/>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Weekly grid, slot cards and conflict badges</w:t>
            </w:r>
          </w:p>
        </w:tc>
      </w:tr>
      <w:tr>
        <w:trPr>
          <w:cantSplit/>
        </w:trPr>
        <w:tc>
          <w:tcPr>
            <w:tcW w:type="dxa" w:w="3300"/>
            <w:tcBorders>
              <w:top w:val="single" w:color="7F9DBF" w:sz="6"/>
              <w:left w:val="single" w:color="7F9DBF" w:sz="6"/>
              <w:bottom w:val="single" w:color="7F9DBF" w:sz="6"/>
              <w:right w:val="single" w:color="7F9DBF" w:sz="6"/>
            </w:tcBorders>
            <w:shd w:fill="F2F2F2" w:color="auto" w:val="clear"/>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css/components.css</w:t>
            </w:r>
          </w:p>
        </w:tc>
        <w:tc>
          <w:tcPr>
            <w:tcW w:type="dxa" w:w="5726"/>
            <w:tcBorders>
              <w:top w:val="single" w:color="7F9DBF" w:sz="6"/>
              <w:left w:val="single" w:color="7F9DBF" w:sz="6"/>
              <w:bottom w:val="single" w:color="7F9DBF" w:sz="6"/>
              <w:right w:val="single" w:color="7F9DBF" w:sz="6"/>
            </w:tcBorders>
            <w:shd w:fill="F2F2F2" w:color="auto" w:val="clear"/>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Modals, toasts, workload gauges and print view</w:t>
            </w:r>
          </w:p>
        </w:tc>
      </w:tr>
      <w:tr>
        <w:trPr>
          <w:cantSplit/>
        </w:trPr>
        <w:tc>
          <w:tcPr>
            <w:tcW w:type="dxa" w:w="3300"/>
            <w:tcBorders>
              <w:top w:val="single" w:color="7F9DBF" w:sz="6"/>
              <w:left w:val="single" w:color="7F9DBF" w:sz="6"/>
              <w:bottom w:val="single" w:color="7F9DBF" w:sz="6"/>
              <w:right w:val="single" w:color="7F9DBF" w:sz="6"/>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js/data.js</w:t>
            </w:r>
          </w:p>
        </w:tc>
        <w:tc>
          <w:tcPr>
            <w:tcW w:type="dxa" w:w="5726"/>
            <w:tcBorders>
              <w:top w:val="single" w:color="7F9DBF" w:sz="6"/>
              <w:left w:val="single" w:color="7F9DBF" w:sz="6"/>
              <w:bottom w:val="single" w:color="7F9DBF" w:sz="6"/>
              <w:right w:val="single" w:color="7F9DBF" w:sz="6"/>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Relational seed data, query helpers and localStorage sync</w:t>
            </w:r>
          </w:p>
        </w:tc>
      </w:tr>
      <w:tr>
        <w:trPr>
          <w:cantSplit/>
        </w:trPr>
        <w:tc>
          <w:tcPr>
            <w:tcW w:type="dxa" w:w="3300"/>
            <w:tcBorders>
              <w:top w:val="single" w:color="7F9DBF" w:sz="6"/>
              <w:left w:val="single" w:color="7F9DBF" w:sz="6"/>
              <w:bottom w:val="single" w:color="7F9DBF" w:sz="6"/>
              <w:right w:val="single" w:color="7F9DBF" w:sz="6"/>
            </w:tcBorders>
            <w:shd w:fill="F2F2F2" w:color="auto" w:val="clear"/>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js/store.js</w:t>
            </w:r>
          </w:p>
        </w:tc>
        <w:tc>
          <w:tcPr>
            <w:tcW w:type="dxa" w:w="5726"/>
            <w:tcBorders>
              <w:top w:val="single" w:color="7F9DBF" w:sz="6"/>
              <w:left w:val="single" w:color="7F9DBF" w:sz="6"/>
              <w:bottom w:val="single" w:color="7F9DBF" w:sz="6"/>
              <w:right w:val="single" w:color="7F9DBF" w:sz="6"/>
            </w:tcBorders>
            <w:shd w:fill="F2F2F2" w:color="auto" w:val="clear"/>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State store, role controller and event bus</w:t>
            </w:r>
          </w:p>
        </w:tc>
      </w:tr>
      <w:tr>
        <w:trPr>
          <w:cantSplit/>
        </w:trPr>
        <w:tc>
          <w:tcPr>
            <w:tcW w:type="dxa" w:w="3300"/>
            <w:tcBorders>
              <w:top w:val="single" w:color="7F9DBF" w:sz="6"/>
              <w:left w:val="single" w:color="7F9DBF" w:sz="6"/>
              <w:bottom w:val="single" w:color="7F9DBF" w:sz="6"/>
              <w:right w:val="single" w:color="7F9DBF" w:sz="6"/>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js/app.js</w:t>
            </w:r>
          </w:p>
        </w:tc>
        <w:tc>
          <w:tcPr>
            <w:tcW w:type="dxa" w:w="5726"/>
            <w:tcBorders>
              <w:top w:val="single" w:color="7F9DBF" w:sz="6"/>
              <w:left w:val="single" w:color="7F9DBF" w:sz="6"/>
              <w:bottom w:val="single" w:color="7F9DBF" w:sz="6"/>
              <w:right w:val="single" w:color="7F9DBF" w:sz="6"/>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Main controller, router, modal manager and conflict checker</w:t>
            </w:r>
          </w:p>
        </w:tc>
      </w:tr>
      <w:tr>
        <w:trPr>
          <w:cantSplit/>
        </w:trPr>
        <w:tc>
          <w:tcPr>
            <w:tcW w:type="dxa" w:w="3300"/>
            <w:tcBorders>
              <w:top w:val="single" w:color="7F9DBF" w:sz="6"/>
              <w:left w:val="single" w:color="7F9DBF" w:sz="6"/>
              <w:bottom w:val="single" w:color="7F9DBF" w:sz="6"/>
              <w:right w:val="single" w:color="7F9DBF" w:sz="6"/>
            </w:tcBorders>
            <w:shd w:fill="F2F2F2" w:color="auto" w:val="clear"/>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js/views/dashboard.js</w:t>
            </w:r>
          </w:p>
        </w:tc>
        <w:tc>
          <w:tcPr>
            <w:tcW w:type="dxa" w:w="5726"/>
            <w:tcBorders>
              <w:top w:val="single" w:color="7F9DBF" w:sz="6"/>
              <w:left w:val="single" w:color="7F9DBF" w:sz="6"/>
              <w:bottom w:val="single" w:color="7F9DBF" w:sz="6"/>
              <w:right w:val="single" w:color="7F9DBF" w:sz="6"/>
            </w:tcBorders>
            <w:shd w:fill="F2F2F2" w:color="auto" w:val="clear"/>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KPI cards, Chart.js graphs and today's schedule</w:t>
            </w:r>
          </w:p>
        </w:tc>
      </w:tr>
      <w:tr>
        <w:trPr>
          <w:cantSplit/>
        </w:trPr>
        <w:tc>
          <w:tcPr>
            <w:tcW w:type="dxa" w:w="3300"/>
            <w:tcBorders>
              <w:top w:val="single" w:color="7F9DBF" w:sz="6"/>
              <w:left w:val="single" w:color="7F9DBF" w:sz="6"/>
              <w:bottom w:val="single" w:color="7F9DBF" w:sz="6"/>
              <w:right w:val="single" w:color="7F9DBF" w:sz="6"/>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js/views/faculty.js</w:t>
            </w:r>
          </w:p>
        </w:tc>
        <w:tc>
          <w:tcPr>
            <w:tcW w:type="dxa" w:w="5726"/>
            <w:tcBorders>
              <w:top w:val="single" w:color="7F9DBF" w:sz="6"/>
              <w:left w:val="single" w:color="7F9DBF" w:sz="6"/>
              <w:bottom w:val="single" w:color="7F9DBF" w:sz="6"/>
              <w:right w:val="single" w:color="7F9DBF" w:sz="6"/>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Faculty directory, search/filter, profile modal and CRUD</w:t>
            </w:r>
          </w:p>
        </w:tc>
      </w:tr>
      <w:tr>
        <w:trPr>
          <w:cantSplit/>
        </w:trPr>
        <w:tc>
          <w:tcPr>
            <w:tcW w:type="dxa" w:w="3300"/>
            <w:tcBorders>
              <w:top w:val="single" w:color="7F9DBF" w:sz="6"/>
              <w:left w:val="single" w:color="7F9DBF" w:sz="6"/>
              <w:bottom w:val="single" w:color="7F9DBF" w:sz="6"/>
              <w:right w:val="single" w:color="7F9DBF" w:sz="6"/>
            </w:tcBorders>
            <w:shd w:fill="F2F2F2" w:color="auto" w:val="clear"/>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js/views/subjects.js</w:t>
            </w:r>
          </w:p>
        </w:tc>
        <w:tc>
          <w:tcPr>
            <w:tcW w:type="dxa" w:w="5726"/>
            <w:tcBorders>
              <w:top w:val="single" w:color="7F9DBF" w:sz="6"/>
              <w:left w:val="single" w:color="7F9DBF" w:sz="6"/>
              <w:bottom w:val="single" w:color="7F9DBF" w:sz="6"/>
              <w:right w:val="single" w:color="7F9DBF" w:sz="6"/>
            </w:tcBorders>
            <w:shd w:fill="F2F2F2" w:color="auto" w:val="clear"/>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Curriculum registry and L-T-P contact hours</w:t>
            </w:r>
          </w:p>
        </w:tc>
      </w:tr>
      <w:tr>
        <w:trPr>
          <w:cantSplit/>
        </w:trPr>
        <w:tc>
          <w:tcPr>
            <w:tcW w:type="dxa" w:w="3300"/>
            <w:tcBorders>
              <w:top w:val="single" w:color="7F9DBF" w:sz="6"/>
              <w:left w:val="single" w:color="7F9DBF" w:sz="6"/>
              <w:bottom w:val="single" w:color="7F9DBF" w:sz="6"/>
              <w:right w:val="single" w:color="7F9DBF" w:sz="6"/>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js/views/workload.js</w:t>
            </w:r>
          </w:p>
        </w:tc>
        <w:tc>
          <w:tcPr>
            <w:tcW w:type="dxa" w:w="5726"/>
            <w:tcBorders>
              <w:top w:val="single" w:color="7F9DBF" w:sz="6"/>
              <w:left w:val="single" w:color="7F9DBF" w:sz="6"/>
              <w:bottom w:val="single" w:color="7F9DBF" w:sz="6"/>
              <w:right w:val="single" w:color="7F9DBF" w:sz="6"/>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Workload analytics, status indicators and auto-rebalance</w:t>
            </w:r>
          </w:p>
        </w:tc>
      </w:tr>
      <w:tr>
        <w:trPr>
          <w:cantSplit/>
        </w:trPr>
        <w:tc>
          <w:tcPr>
            <w:tcW w:type="dxa" w:w="3300"/>
            <w:tcBorders>
              <w:top w:val="single" w:color="7F9DBF" w:sz="6"/>
              <w:left w:val="single" w:color="7F9DBF" w:sz="6"/>
              <w:bottom w:val="single" w:color="7F9DBF" w:sz="6"/>
              <w:right w:val="single" w:color="7F9DBF" w:sz="6"/>
            </w:tcBorders>
            <w:shd w:fill="F2F2F2" w:color="auto" w:val="clear"/>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js/views/timetable.js</w:t>
            </w:r>
          </w:p>
        </w:tc>
        <w:tc>
          <w:tcPr>
            <w:tcW w:type="dxa" w:w="5726"/>
            <w:tcBorders>
              <w:top w:val="single" w:color="7F9DBF" w:sz="6"/>
              <w:left w:val="single" w:color="7F9DBF" w:sz="6"/>
              <w:bottom w:val="single" w:color="7F9DBF" w:sz="6"/>
              <w:right w:val="single" w:color="7F9DBF" w:sz="6"/>
            </w:tcBorders>
            <w:shd w:fill="F2F2F2" w:color="auto" w:val="clear"/>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Weekly matrix, view filters and clash handling</w:t>
            </w:r>
          </w:p>
        </w:tc>
      </w:tr>
      <w:tr>
        <w:trPr>
          <w:cantSplit/>
        </w:trPr>
        <w:tc>
          <w:tcPr>
            <w:tcW w:type="dxa" w:w="3300"/>
            <w:tcBorders>
              <w:top w:val="single" w:color="7F9DBF" w:sz="6"/>
              <w:left w:val="single" w:color="7F9DBF" w:sz="6"/>
              <w:bottom w:val="single" w:color="7F9DBF" w:sz="6"/>
              <w:right w:val="single" w:color="7F9DBF" w:sz="6"/>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js/views/rooms.js</w:t>
            </w:r>
          </w:p>
        </w:tc>
        <w:tc>
          <w:tcPr>
            <w:tcW w:type="dxa" w:w="5726"/>
            <w:tcBorders>
              <w:top w:val="single" w:color="7F9DBF" w:sz="6"/>
              <w:left w:val="single" w:color="7F9DBF" w:sz="6"/>
              <w:bottom w:val="single" w:color="7F9DBF" w:sz="6"/>
              <w:right w:val="single" w:color="7F9DBF" w:sz="6"/>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Room inventory, live status, capacity and utilization</w:t>
            </w:r>
          </w:p>
        </w:tc>
      </w:tr>
      <w:tr>
        <w:trPr>
          <w:cantSplit/>
        </w:trPr>
        <w:tc>
          <w:tcPr>
            <w:tcW w:type="dxa" w:w="3300"/>
            <w:tcBorders>
              <w:top w:val="single" w:color="7F9DBF" w:sz="6"/>
              <w:left w:val="single" w:color="7F9DBF" w:sz="6"/>
              <w:bottom w:val="single" w:color="7F9DBF" w:sz="6"/>
              <w:right w:val="single" w:color="7F9DBF" w:sz="6"/>
            </w:tcBorders>
            <w:shd w:fill="F2F2F2" w:color="auto" w:val="clear"/>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js/views/departments.js</w:t>
            </w:r>
          </w:p>
        </w:tc>
        <w:tc>
          <w:tcPr>
            <w:tcW w:type="dxa" w:w="5726"/>
            <w:tcBorders>
              <w:top w:val="single" w:color="7F9DBF" w:sz="6"/>
              <w:left w:val="single" w:color="7F9DBF" w:sz="6"/>
              <w:bottom w:val="single" w:color="7F9DBF" w:sz="6"/>
              <w:right w:val="single" w:color="7F9DBF" w:sz="6"/>
            </w:tcBorders>
            <w:shd w:fill="F2F2F2" w:color="auto" w:val="clear"/>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Department cards, HOD information and faculty roster</w:t>
            </w:r>
          </w:p>
        </w:tc>
      </w:tr>
      <w:tr>
        <w:trPr>
          <w:cantSplit/>
        </w:trPr>
        <w:tc>
          <w:tcPr>
            <w:tcW w:type="dxa" w:w="3300"/>
            <w:tcBorders>
              <w:top w:val="single" w:color="7F9DBF" w:sz="6"/>
              <w:left w:val="single" w:color="7F9DBF" w:sz="6"/>
              <w:bottom w:val="single" w:color="7F9DBF" w:sz="6"/>
              <w:right w:val="single" w:color="7F9DBF" w:sz="6"/>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js/views/reports.js</w:t>
            </w:r>
          </w:p>
        </w:tc>
        <w:tc>
          <w:tcPr>
            <w:tcW w:type="dxa" w:w="5726"/>
            <w:tcBorders>
              <w:top w:val="single" w:color="7F9DBF" w:sz="6"/>
              <w:left w:val="single" w:color="7F9DBF" w:sz="6"/>
              <w:bottom w:val="single" w:color="7F9DBF" w:sz="6"/>
              <w:right w:val="single" w:color="7F9DBF" w:sz="6"/>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Audits, CSV export and print/PDF reports</w:t>
            </w:r>
          </w:p>
        </w:tc>
      </w:tr>
      <w:tr>
        <w:trPr>
          <w:cantSplit/>
        </w:trPr>
        <w:tc>
          <w:tcPr>
            <w:tcW w:type="dxa" w:w="3300"/>
            <w:tcBorders>
              <w:top w:val="single" w:color="7F9DBF" w:sz="6"/>
              <w:left w:val="single" w:color="7F9DBF" w:sz="6"/>
              <w:bottom w:val="single" w:color="7F9DBF" w:sz="6"/>
              <w:right w:val="single" w:color="7F9DBF" w:sz="6"/>
            </w:tcBorders>
            <w:shd w:fill="F2F2F2" w:color="auto" w:val="clear"/>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js/views/notifications.js</w:t>
            </w:r>
          </w:p>
        </w:tc>
        <w:tc>
          <w:tcPr>
            <w:tcW w:type="dxa" w:w="5726"/>
            <w:tcBorders>
              <w:top w:val="single" w:color="7F9DBF" w:sz="6"/>
              <w:left w:val="single" w:color="7F9DBF" w:sz="6"/>
              <w:bottom w:val="single" w:color="7F9DBF" w:sz="6"/>
              <w:right w:val="single" w:color="7F9DBF" w:sz="6"/>
            </w:tcBorders>
            <w:shd w:fill="F2F2F2" w:color="auto" w:val="clear"/>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Notification inbox and priority alerts</w:t>
            </w:r>
          </w:p>
        </w:tc>
      </w:tr>
      <w:tr>
        <w:trPr>
          <w:cantSplit/>
        </w:trPr>
        <w:tc>
          <w:tcPr>
            <w:tcW w:type="dxa" w:w="3300"/>
            <w:tcBorders>
              <w:top w:val="single" w:color="7F9DBF" w:sz="6"/>
              <w:left w:val="single" w:color="7F9DBF" w:sz="6"/>
              <w:bottom w:val="single" w:color="7F9DBF" w:sz="6"/>
              <w:right w:val="single" w:color="7F9DBF" w:sz="6"/>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js/views/schema.js</w:t>
            </w:r>
          </w:p>
        </w:tc>
        <w:tc>
          <w:tcPr>
            <w:tcW w:type="dxa" w:w="5726"/>
            <w:tcBorders>
              <w:top w:val="single" w:color="7F9DBF" w:sz="6"/>
              <w:left w:val="single" w:color="7F9DBF" w:sz="6"/>
              <w:bottom w:val="single" w:color="7F9DBF" w:sz="6"/>
              <w:right w:val="single" w:color="7F9DBF" w:sz="6"/>
            </w:tcBorders>
            <w:tcMar>
              <w:top w:type="dxa" w:w="80"/>
              <w:left w:type="dxa" w:w="120"/>
              <w:bottom w:type="dxa" w:w="80"/>
              <w:right w:type="dxa" w:w="120"/>
            </w:tcMar>
            <w:vAlign w:val="center"/>
          </w:tcPr>
          <w:p>
            <w:pPr>
              <w:keepNext/>
              <w:jc w:val="left"/>
            </w:pPr>
            <w:r>
              <w:rPr>
                <w:rFonts w:ascii="Calibri" w:cs="Calibri" w:eastAsia="Calibri" w:hAnsi="Calibri"/>
                <w:b w:val="false"/>
                <w:bCs w:val="false"/>
                <w:sz w:val="21"/>
                <w:szCs w:val="21"/>
              </w:rPr>
              <w:t xml:space="preserve">DBMS relational schema, ER tables and SQL simulator</w:t>
            </w:r>
          </w:p>
        </w:tc>
      </w:tr>
      <w:tr>
        <w:trPr>
          <w:cantSplit/>
        </w:trPr>
        <w:tc>
          <w:tcPr>
            <w:tcW w:type="dxa" w:w="3300"/>
            <w:tcBorders>
              <w:top w:val="single" w:color="7F9DBF" w:sz="6"/>
              <w:left w:val="single" w:color="7F9DBF" w:sz="6"/>
              <w:bottom w:val="single" w:color="7F9DBF" w:sz="6"/>
              <w:right w:val="single" w:color="7F9DBF" w:sz="6"/>
            </w:tcBorders>
            <w:shd w:fill="F2F2F2" w:color="auto" w:val="clear"/>
            <w:tcMar>
              <w:top w:type="dxa" w:w="80"/>
              <w:left w:type="dxa" w:w="120"/>
              <w:bottom w:type="dxa" w:w="80"/>
              <w:right w:type="dxa" w:w="120"/>
            </w:tcMar>
            <w:vAlign w:val="center"/>
          </w:tcPr>
          <w:p>
            <w:pPr>
              <w:keepNext w:val="false"/>
              <w:jc w:val="left"/>
            </w:pPr>
            <w:r>
              <w:rPr>
                <w:rFonts w:ascii="Calibri" w:cs="Calibri" w:eastAsia="Calibri" w:hAnsi="Calibri"/>
                <w:b w:val="false"/>
                <w:bCs w:val="false"/>
                <w:sz w:val="21"/>
                <w:szCs w:val="21"/>
              </w:rPr>
              <w:t xml:space="preserve">js/views/settings.js</w:t>
            </w:r>
          </w:p>
        </w:tc>
        <w:tc>
          <w:tcPr>
            <w:tcW w:type="dxa" w:w="5726"/>
            <w:tcBorders>
              <w:top w:val="single" w:color="7F9DBF" w:sz="6"/>
              <w:left w:val="single" w:color="7F9DBF" w:sz="6"/>
              <w:bottom w:val="single" w:color="7F9DBF" w:sz="6"/>
              <w:right w:val="single" w:color="7F9DBF" w:sz="6"/>
            </w:tcBorders>
            <w:shd w:fill="F2F2F2" w:color="auto" w:val="clear"/>
            <w:tcMar>
              <w:top w:type="dxa" w:w="80"/>
              <w:left w:type="dxa" w:w="120"/>
              <w:bottom w:type="dxa" w:w="80"/>
              <w:right w:type="dxa" w:w="120"/>
            </w:tcMar>
            <w:vAlign w:val="center"/>
          </w:tcPr>
          <w:p>
            <w:pPr>
              <w:keepNext w:val="false"/>
              <w:jc w:val="left"/>
            </w:pPr>
            <w:r>
              <w:rPr>
                <w:rFonts w:ascii="Calibri" w:cs="Calibri" w:eastAsia="Calibri" w:hAnsi="Calibri"/>
                <w:b w:val="false"/>
                <w:bCs w:val="false"/>
                <w:sz w:val="21"/>
                <w:szCs w:val="21"/>
              </w:rPr>
              <w:t xml:space="preserve">University parameters, workload rules and data reset</w:t>
            </w:r>
          </w:p>
        </w:tc>
      </w:tr>
    </w:tbl>
    <w:p>
      <w:pPr>
        <w:spacing w:after="220" w:before="80" w:line="300"/>
        <w:jc w:val="center"/>
      </w:pPr>
      <w:r>
        <w:rPr>
          <w:rFonts w:ascii="Calibri" w:cs="Calibri" w:eastAsia="Calibri" w:hAnsi="Calibri"/>
          <w:i/>
          <w:iCs/>
          <w:color w:val="595959"/>
          <w:sz w:val="20"/>
          <w:szCs w:val="20"/>
        </w:rPr>
        <w:t xml:space="preserve">Table 7: Source files and responsibilities</w:t>
      </w:r>
    </w:p>
    <w:p>
      <w:pPr>
        <w:pStyle w:val="Heading1"/>
      </w:pPr>
      <w:r>
        <w:t xml:space="preserve">8. Installation and Execution</w:t>
      </w:r>
    </w:p>
    <w:p>
      <w:pPr>
        <w:spacing w:after="140" w:before="0" w:line="300"/>
        <w:jc w:val="both"/>
      </w:pPr>
      <w:r>
        <w:rPr>
          <w:rFonts w:ascii="Calibri" w:cs="Calibri" w:eastAsia="Calibri" w:hAnsi="Calibri"/>
        </w:rPr>
        <w:t xml:space="preserve">The application needs no build step and can be launched in either of the following ways.</w:t>
      </w:r>
    </w:p>
    <w:p>
      <w:pPr>
        <w:pStyle w:val="Heading2"/>
      </w:pPr>
      <w:r>
        <w:t xml:space="preserve">8.1 Option 1: Python HTTP Server</w:t>
      </w:r>
    </w:p>
    <w:p>
      <w:pPr>
        <w:spacing w:after="140" w:before="0" w:line="300"/>
        <w:jc w:val="both"/>
      </w:pPr>
      <w:r>
        <w:rPr>
          <w:rFonts w:ascii="Calibri" w:cs="Calibri" w:eastAsia="Calibri" w:hAnsi="Calibri"/>
        </w:rPr>
        <w:t xml:space="preserve">From the project directory, start a local server and open the address in a browser:</w:t>
      </w:r>
    </w:p>
    <w:p>
      <w:pPr>
        <w:pBdr>
          <w:left w:val="single" w:color="2E75B6" w:sz="18" w:space="8"/>
        </w:pBdr>
        <w:shd w:fill="F2F2F2" w:color="auto" w:val="clear"/>
        <w:spacing w:after="60"/>
        <w:ind w:left="360"/>
        <w:jc w:val="left"/>
      </w:pPr>
      <w:r>
        <w:rPr>
          <w:rFonts w:ascii="Consolas" w:cs="Consolas" w:eastAsia="Consolas" w:hAnsi="Consolas"/>
          <w:sz w:val="21"/>
          <w:szCs w:val="21"/>
        </w:rPr>
        <w:t xml:space="preserve">python -m http.server 8085</w:t>
      </w:r>
    </w:p>
    <w:p>
      <w:pPr>
        <w:pBdr>
          <w:left w:val="single" w:color="2E75B6" w:sz="18" w:space="8"/>
        </w:pBdr>
        <w:shd w:fill="F2F2F2" w:color="auto" w:val="clear"/>
        <w:spacing w:after="60"/>
        <w:ind w:left="360"/>
        <w:jc w:val="left"/>
      </w:pPr>
      <w:r>
        <w:rPr>
          <w:rFonts w:ascii="Consolas" w:cs="Consolas" w:eastAsia="Consolas" w:hAnsi="Consolas"/>
          <w:sz w:val="21"/>
          <w:szCs w:val="21"/>
        </w:rPr>
        <w:t xml:space="preserve">http://localhost:8085</w:t>
      </w:r>
    </w:p>
    <w:p/>
    <w:p>
      <w:pPr>
        <w:pStyle w:val="Heading2"/>
      </w:pPr>
      <w:r>
        <w:t xml:space="preserve">8.2 Option 2: Direct File Open</w:t>
      </w:r>
    </w:p>
    <w:p>
      <w:pPr>
        <w:spacing w:after="140" w:before="0" w:line="300"/>
        <w:jc w:val="both"/>
      </w:pPr>
      <w:r>
        <w:rPr>
          <w:rFonts w:ascii="Calibri" w:cs="Calibri" w:eastAsia="Calibri" w:hAnsi="Calibri"/>
        </w:rPr>
        <w:t xml:space="preserve">Open index.html directly in Chrome, Edge or Firefox by double-clicking the file.</w:t>
      </w:r>
    </w:p>
    <w:p>
      <w:pPr>
        <w:pStyle w:val="Heading1"/>
      </w:pPr>
      <w:r>
        <w:t xml:space="preserve">9. Conclusion</w:t>
      </w:r>
    </w:p>
    <w:p>
      <w:pPr>
        <w:spacing w:after="140" w:before="0" w:line="300"/>
        <w:jc w:val="both"/>
      </w:pPr>
      <w:r>
        <w:rPr>
          <w:rFonts w:ascii="Calibri" w:cs="Calibri" w:eastAsia="Calibri" w:hAnsi="Calibri"/>
        </w:rPr>
        <w:t xml:space="preserve">The Faculty Workload and Timetable Management System successfully brings workload monitoring, curriculum management, room allocation and timetable generation into a single portal. Its real-time conflict detection removes the most common scheduling errors, while the workload-balancing recommendations help administrators distribute teaching responsibilities fairly.</w:t>
      </w:r>
    </w:p>
    <w:p>
      <w:pPr>
        <w:spacing w:after="140" w:before="0" w:line="300"/>
        <w:jc w:val="both"/>
      </w:pPr>
      <w:r>
        <w:rPr>
          <w:rFonts w:ascii="Calibri" w:cs="Calibri" w:eastAsia="Calibri" w:hAnsi="Calibri"/>
        </w:rPr>
        <w:t xml:space="preserve">From a database perspective, the project demonstrates sound relational design through a 3NF schema, enforced integrity constraints, portable SQL scripts and practical query examples. Role-based access, theme support, report exports and local persistence make the system a complete and presentable academic solution.</w:t>
      </w:r>
    </w:p>
    <w:p>
      <w:pPr>
        <w:pStyle w:val="Heading1"/>
      </w:pPr>
      <w:r>
        <w:t xml:space="preserve">10. Future Scope</w:t>
      </w:r>
    </w:p>
    <w:p>
      <w:pPr>
        <w:pStyle w:val="ListParagraph"/>
        <w:numPr>
          <w:ilvl w:val="0"/>
          <w:numId w:val="2"/>
        </w:numPr>
        <w:spacing w:after="80" w:line="290"/>
        <w:jc w:val="left"/>
      </w:pPr>
      <w:r>
        <w:rPr>
          <w:rFonts w:ascii="Calibri" w:cs="Calibri" w:eastAsia="Calibri" w:hAnsi="Calibri"/>
        </w:rPr>
        <w:t xml:space="preserve">Connect the front end to a server-side database (MySQL or PostgreSQL) with a REST API for multi-user, real-time data.</w:t>
      </w:r>
    </w:p>
    <w:p>
      <w:pPr>
        <w:pStyle w:val="ListParagraph"/>
        <w:numPr>
          <w:ilvl w:val="0"/>
          <w:numId w:val="2"/>
        </w:numPr>
        <w:spacing w:after="80" w:line="290"/>
        <w:jc w:val="left"/>
      </w:pPr>
      <w:r>
        <w:rPr>
          <w:rFonts w:ascii="Calibri" w:cs="Calibri" w:eastAsia="Calibri" w:hAnsi="Calibri"/>
        </w:rPr>
        <w:t xml:space="preserve">Add secure authentication with login, password management and audit logs.</w:t>
      </w:r>
    </w:p>
    <w:p>
      <w:pPr>
        <w:pStyle w:val="ListParagraph"/>
        <w:numPr>
          <w:ilvl w:val="0"/>
          <w:numId w:val="2"/>
        </w:numPr>
        <w:spacing w:after="80" w:line="290"/>
        <w:jc w:val="left"/>
      </w:pPr>
      <w:r>
        <w:rPr>
          <w:rFonts w:ascii="Calibri" w:cs="Calibri" w:eastAsia="Calibri" w:hAnsi="Calibri"/>
        </w:rPr>
        <w:t xml:space="preserve">Automatically generate optimized timetables using constraint-solving or AI scheduling algorithms.</w:t>
      </w:r>
    </w:p>
    <w:p>
      <w:pPr>
        <w:pStyle w:val="ListParagraph"/>
        <w:numPr>
          <w:ilvl w:val="0"/>
          <w:numId w:val="2"/>
        </w:numPr>
        <w:spacing w:after="80" w:line="290"/>
        <w:jc w:val="left"/>
      </w:pPr>
      <w:r>
        <w:rPr>
          <w:rFonts w:ascii="Calibri" w:cs="Calibri" w:eastAsia="Calibri" w:hAnsi="Calibri"/>
        </w:rPr>
        <w:t xml:space="preserve">Send email or push notifications for conflicts, substitutions and workload alerts.</w:t>
      </w:r>
    </w:p>
    <w:p>
      <w:pPr>
        <w:pStyle w:val="ListParagraph"/>
        <w:numPr>
          <w:ilvl w:val="0"/>
          <w:numId w:val="2"/>
        </w:numPr>
        <w:spacing w:after="80" w:line="290"/>
        <w:jc w:val="left"/>
      </w:pPr>
      <w:r>
        <w:rPr>
          <w:rFonts w:ascii="Calibri" w:cs="Calibri" w:eastAsia="Calibri" w:hAnsi="Calibri"/>
        </w:rPr>
        <w:t xml:space="preserve">Provide student-facing timetable views and a mobile application.</w:t>
      </w:r>
    </w:p>
    <w:sectPr>
      <w:headerReference w:type="default" r:id="rId7"/>
      <w:footerReference w:type="default" r:id="rId8"/>
      <w:pgSz w:w="11906" w:h="16838" w:orient="portrait"/>
      <w:pgMar w:top="1440" w:right="1440" w:bottom="1300" w:left="1440" w:header="708" w:footer="708" w:gutter="0"/>
      <w:pgBorders w:display="allPages" w:offsetFrom="page">
        <w:top w:val="single" w:color="1F3864" w:sz="12" w:space="24"/>
        <w:left w:val="single" w:color="1F3864" w:sz="12" w:space="24"/>
        <w:bottom w:val="single" w:color="1F3864" w:sz="12" w:space="24"/>
        <w:right w:val="single" w:color="1F3864" w:sz="12" w:space="24"/>
      </w:pgBorders>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7F7F7F"/>
        <w:sz w:val="18"/>
        <w:szCs w:val="18"/>
      </w:rPr>
      <w:t xml:space="preserve">Faculty Workload and Timetable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E75B6" w:sz="12" w:space="4"/>
      </w:pBdr>
      <w:spacing w:after="200" w:before="12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24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2eb0044ee15696a01b357bdae84f975b7a937e5.png"/><Relationship Id="rId10" Type="http://schemas.openxmlformats.org/officeDocument/2006/relationships/image" Target="media/13cc0d4caf67533516465ec0957fd27fba21ea70.png"/><Relationship Id="rId11" Type="http://schemas.openxmlformats.org/officeDocument/2006/relationships/image" Target="media/eebc23cccb1010fd8c8491d5a71e891703240ee7.png"/><Relationship Id="rId12" Type="http://schemas.openxmlformats.org/officeDocument/2006/relationships/image" Target="media/d381fe0125f83c56179fb675633c92717c1d49bb.png"/><Relationship Id="rId13" Type="http://schemas.openxmlformats.org/officeDocument/2006/relationships/image" Target="media/94b2a4a44f0747c3cd99cefbbf115cbbe7ef62ac.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Faculty Workload and Timetable Management System</dc:title>
  <dc:creator>Project Report</dc:creator>
  <cp:lastModifiedBy>Un-named</cp:lastModifiedBy>
  <cp:revision>1</cp:revision>
  <dcterms:created xsi:type="dcterms:W3CDTF">2026-10-07T08:11:37.778Z</dcterms:created>
  <dcterms:modified xsi:type="dcterms:W3CDTF">2026-10-07T08:11:37.786Z</dcterms:modified>
</cp:coreProperties>
</file>

<file path=docProps/custom.xml><?xml version="1.0" encoding="utf-8"?>
<Properties xmlns="http://schemas.openxmlformats.org/officeDocument/2006/custom-properties" xmlns:vt="http://schemas.openxmlformats.org/officeDocument/2006/docPropsVTypes"/>
</file>