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HR Employee Attrition Analysis</w:t>
      </w:r>
    </w:p>
    <w:p>
      <w:pPr>
        <w:jc w:val="center"/>
      </w:pPr>
      <w:r>
        <w:rPr>
          <w:i/>
          <w:sz w:val="26"/>
        </w:rPr>
        <w:t>Data Cleaning, Exploratory Analysis and Key Findings</w:t>
      </w:r>
    </w:p>
    <w:p>
      <w:pPr>
        <w:jc w:val="center"/>
      </w:pPr>
      <w:r>
        <w:t>Generated on 06 August 2026</w:t>
      </w:r>
    </w:p>
    <w:p>
      <w:r>
        <w:br w:type="page"/>
      </w:r>
    </w:p>
    <w:p>
      <w:pPr>
        <w:pStyle w:val="Heading1"/>
      </w:pPr>
      <w:r>
        <w:t>1. Executive Summary</w:t>
      </w:r>
    </w:p>
    <w:p>
      <w:r>
        <w:t>This report examines employee attrition using demographic, employment, compensation, satisfaction and experience-related variables. The purpose is to identify patterns associated with employees leaving the organisation.</w:t>
      </w:r>
    </w:p>
    <w:tbl>
      <w:tblPr>
        <w:tblStyle w:val="TableGrid"/>
        <w:tblW w:type="auto" w:w="0"/>
        <w:jc w:val="center"/>
        <w:tblLook w:firstColumn="1" w:firstRow="1" w:lastColumn="0" w:lastRow="0" w:noHBand="0" w:noVBand="1" w:val="04A0"/>
      </w:tblPr>
      <w:tblGrid>
        <w:gridCol w:w="5040"/>
        <w:gridCol w:w="5040"/>
      </w:tblGrid>
      <w:tr>
        <w:tc>
          <w:tcPr>
            <w:tcW w:type="dxa" w:w="5040"/>
            <w:shd w:fill="CFE8DC"/>
            <w:vAlign w:val="center"/>
          </w:tcPr>
          <w:p>
            <w:pPr>
              <w:spacing w:after="40"/>
            </w:pPr>
            <w:r>
              <w:rPr>
                <w:b/>
                <w:sz w:val="18"/>
              </w:rPr>
              <w:t>Metric</w:t>
            </w:r>
          </w:p>
        </w:tc>
        <w:tc>
          <w:tcPr>
            <w:tcW w:type="dxa" w:w="5040"/>
            <w:shd w:fill="CFE8DC"/>
            <w:vAlign w:val="center"/>
          </w:tcPr>
          <w:p>
            <w:pPr>
              <w:spacing w:after="40"/>
            </w:pPr>
            <w:r>
              <w:rPr>
                <w:b/>
                <w:sz w:val="18"/>
              </w:rPr>
              <w:t>Result</w:t>
            </w:r>
          </w:p>
        </w:tc>
      </w:tr>
      <w:tr>
        <w:tc>
          <w:tcPr>
            <w:tcW w:type="dxa" w:w="5040"/>
            <w:vAlign w:val="center"/>
          </w:tcPr>
          <w:p>
            <w:pPr>
              <w:spacing w:after="40"/>
            </w:pPr>
            <w:r>
              <w:rPr>
                <w:sz w:val="18"/>
              </w:rPr>
              <w:t>Total employees</w:t>
            </w:r>
          </w:p>
        </w:tc>
        <w:tc>
          <w:tcPr>
            <w:tcW w:type="dxa" w:w="5040"/>
            <w:vAlign w:val="center"/>
          </w:tcPr>
          <w:p>
            <w:pPr>
              <w:spacing w:after="40"/>
            </w:pPr>
            <w:r>
              <w:rPr>
                <w:sz w:val="18"/>
              </w:rPr>
              <w:t>1,470</w:t>
            </w:r>
          </w:p>
        </w:tc>
      </w:tr>
      <w:tr>
        <w:tc>
          <w:tcPr>
            <w:tcW w:type="dxa" w:w="5040"/>
            <w:vAlign w:val="center"/>
          </w:tcPr>
          <w:p>
            <w:pPr>
              <w:spacing w:after="40"/>
            </w:pPr>
            <w:r>
              <w:rPr>
                <w:sz w:val="18"/>
              </w:rPr>
              <w:t>Employees who left</w:t>
            </w:r>
          </w:p>
        </w:tc>
        <w:tc>
          <w:tcPr>
            <w:tcW w:type="dxa" w:w="5040"/>
            <w:vAlign w:val="center"/>
          </w:tcPr>
          <w:p>
            <w:pPr>
              <w:spacing w:after="40"/>
            </w:pPr>
            <w:r>
              <w:rPr>
                <w:sz w:val="18"/>
              </w:rPr>
              <w:t>237</w:t>
            </w:r>
          </w:p>
        </w:tc>
      </w:tr>
      <w:tr>
        <w:tc>
          <w:tcPr>
            <w:tcW w:type="dxa" w:w="5040"/>
            <w:vAlign w:val="center"/>
          </w:tcPr>
          <w:p>
            <w:pPr>
              <w:spacing w:after="40"/>
            </w:pPr>
            <w:r>
              <w:rPr>
                <w:sz w:val="18"/>
              </w:rPr>
              <w:t>Employees who stayed</w:t>
            </w:r>
          </w:p>
        </w:tc>
        <w:tc>
          <w:tcPr>
            <w:tcW w:type="dxa" w:w="5040"/>
            <w:vAlign w:val="center"/>
          </w:tcPr>
          <w:p>
            <w:pPr>
              <w:spacing w:after="40"/>
            </w:pPr>
            <w:r>
              <w:rPr>
                <w:sz w:val="18"/>
              </w:rPr>
              <w:t>1,233</w:t>
            </w:r>
          </w:p>
        </w:tc>
      </w:tr>
      <w:tr>
        <w:tc>
          <w:tcPr>
            <w:tcW w:type="dxa" w:w="5040"/>
            <w:vAlign w:val="center"/>
          </w:tcPr>
          <w:p>
            <w:pPr>
              <w:spacing w:after="40"/>
            </w:pPr>
            <w:r>
              <w:rPr>
                <w:sz w:val="18"/>
              </w:rPr>
              <w:t>Overall attrition rate</w:t>
            </w:r>
          </w:p>
        </w:tc>
        <w:tc>
          <w:tcPr>
            <w:tcW w:type="dxa" w:w="5040"/>
            <w:vAlign w:val="center"/>
          </w:tcPr>
          <w:p>
            <w:pPr>
              <w:spacing w:after="40"/>
            </w:pPr>
            <w:r>
              <w:rPr>
                <w:sz w:val="18"/>
              </w:rPr>
              <w:t>16.12%</w:t>
            </w:r>
          </w:p>
        </w:tc>
      </w:tr>
      <w:tr>
        <w:tc>
          <w:tcPr>
            <w:tcW w:type="dxa" w:w="5040"/>
            <w:vAlign w:val="center"/>
          </w:tcPr>
          <w:p>
            <w:pPr>
              <w:spacing w:after="40"/>
            </w:pPr>
            <w:r>
              <w:rPr>
                <w:sz w:val="18"/>
              </w:rPr>
              <w:t>Average employee age</w:t>
            </w:r>
          </w:p>
        </w:tc>
        <w:tc>
          <w:tcPr>
            <w:tcW w:type="dxa" w:w="5040"/>
            <w:vAlign w:val="center"/>
          </w:tcPr>
          <w:p>
            <w:pPr>
              <w:spacing w:after="40"/>
            </w:pPr>
            <w:r>
              <w:rPr>
                <w:sz w:val="18"/>
              </w:rPr>
              <w:t>36.92 years</w:t>
            </w:r>
          </w:p>
        </w:tc>
      </w:tr>
      <w:tr>
        <w:tc>
          <w:tcPr>
            <w:tcW w:type="dxa" w:w="5040"/>
            <w:vAlign w:val="center"/>
          </w:tcPr>
          <w:p>
            <w:pPr>
              <w:spacing w:after="40"/>
            </w:pPr>
            <w:r>
              <w:rPr>
                <w:sz w:val="18"/>
              </w:rPr>
              <w:t>Average monthly income</w:t>
            </w:r>
          </w:p>
        </w:tc>
        <w:tc>
          <w:tcPr>
            <w:tcW w:type="dxa" w:w="5040"/>
            <w:vAlign w:val="center"/>
          </w:tcPr>
          <w:p>
            <w:pPr>
              <w:spacing w:after="40"/>
            </w:pPr>
            <w:r>
              <w:rPr>
                <w:sz w:val="18"/>
              </w:rPr>
              <w:t>6,502.93</w:t>
            </w:r>
          </w:p>
        </w:tc>
      </w:tr>
    </w:tbl>
    <w:p>
      <w:pPr>
        <w:pStyle w:val="Heading1"/>
      </w:pPr>
      <w:r>
        <w:t>2. Dataset Overview</w:t>
      </w:r>
    </w:p>
    <w:p>
      <w:r>
        <w:t>The cleaned dataset contains 1,470 employee records and 34 variables. Each row represents one employee and each column describes an employee characteristic, employment condition or outcome.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after="40"/>
            </w:pPr>
            <w:r>
              <w:rPr>
                <w:b/>
                <w:sz w:val="18"/>
              </w:rPr>
              <w:t>Variable Group</w:t>
            </w:r>
          </w:p>
        </w:tc>
        <w:tc>
          <w:tcPr>
            <w:tcW w:type="dxa" w:w="3360"/>
            <w:shd w:fill="D9EAF7"/>
            <w:vAlign w:val="center"/>
          </w:tcPr>
          <w:p>
            <w:pPr>
              <w:spacing w:after="40"/>
            </w:pPr>
            <w:r>
              <w:rPr>
                <w:b/>
                <w:sz w:val="18"/>
              </w:rPr>
              <w:t>Variables</w:t>
            </w:r>
          </w:p>
        </w:tc>
        <w:tc>
          <w:tcPr>
            <w:tcW w:type="dxa" w:w="3360"/>
            <w:shd w:fill="D9EAF7"/>
            <w:vAlign w:val="center"/>
          </w:tcPr>
          <w:p>
            <w:pPr>
              <w:spacing w:after="40"/>
            </w:pPr>
            <w:r>
              <w:rPr>
                <w:b/>
                <w:sz w:val="18"/>
              </w:rPr>
              <w:t>Purpose</w:t>
            </w:r>
          </w:p>
        </w:tc>
      </w:tr>
      <w:tr>
        <w:tc>
          <w:tcPr>
            <w:tcW w:type="dxa" w:w="3360"/>
            <w:vAlign w:val="center"/>
          </w:tcPr>
          <w:p>
            <w:pPr>
              <w:spacing w:after="40"/>
            </w:pPr>
            <w:r>
              <w:rPr>
                <w:sz w:val="18"/>
              </w:rPr>
              <w:t>Target variable</w:t>
            </w:r>
          </w:p>
        </w:tc>
        <w:tc>
          <w:tcPr>
            <w:tcW w:type="dxa" w:w="3360"/>
            <w:vAlign w:val="center"/>
          </w:tcPr>
          <w:p>
            <w:pPr>
              <w:spacing w:after="40"/>
            </w:pPr>
            <w:r>
              <w:rPr>
                <w:sz w:val="18"/>
              </w:rPr>
              <w:t>attrition, attrition_flag</w:t>
            </w:r>
          </w:p>
        </w:tc>
        <w:tc>
          <w:tcPr>
            <w:tcW w:type="dxa" w:w="3360"/>
            <w:vAlign w:val="center"/>
          </w:tcPr>
          <w:p>
            <w:pPr>
              <w:spacing w:after="40"/>
            </w:pPr>
            <w:r>
              <w:rPr>
                <w:sz w:val="18"/>
              </w:rPr>
              <w:t>Shows whether an employee left the company. The numerical flag uses 1 for Yes and 0 for No.</w:t>
            </w:r>
          </w:p>
        </w:tc>
      </w:tr>
      <w:tr>
        <w:tc>
          <w:tcPr>
            <w:tcW w:type="dxa" w:w="3360"/>
            <w:vAlign w:val="center"/>
          </w:tcPr>
          <w:p>
            <w:pPr>
              <w:spacing w:after="40"/>
            </w:pPr>
            <w:r>
              <w:rPr>
                <w:sz w:val="18"/>
              </w:rPr>
              <w:t>Employee identification</w:t>
            </w:r>
          </w:p>
        </w:tc>
        <w:tc>
          <w:tcPr>
            <w:tcW w:type="dxa" w:w="3360"/>
            <w:vAlign w:val="center"/>
          </w:tcPr>
          <w:p>
            <w:pPr>
              <w:spacing w:after="40"/>
            </w:pPr>
            <w:r>
              <w:rPr>
                <w:sz w:val="18"/>
              </w:rPr>
              <w:t>employee_number</w:t>
            </w:r>
          </w:p>
        </w:tc>
        <w:tc>
          <w:tcPr>
            <w:tcW w:type="dxa" w:w="3360"/>
            <w:vAlign w:val="center"/>
          </w:tcPr>
          <w:p>
            <w:pPr>
              <w:spacing w:after="40"/>
            </w:pPr>
            <w:r>
              <w:rPr>
                <w:sz w:val="18"/>
              </w:rPr>
              <w:t>Unique employee identifier. It should not be used as a predictive machine-learning feature.</w:t>
            </w:r>
          </w:p>
        </w:tc>
      </w:tr>
      <w:tr>
        <w:tc>
          <w:tcPr>
            <w:tcW w:type="dxa" w:w="3360"/>
            <w:vAlign w:val="center"/>
          </w:tcPr>
          <w:p>
            <w:pPr>
              <w:spacing w:after="40"/>
            </w:pPr>
            <w:r>
              <w:rPr>
                <w:sz w:val="18"/>
              </w:rPr>
              <w:t>Personal characteristics</w:t>
            </w:r>
          </w:p>
        </w:tc>
        <w:tc>
          <w:tcPr>
            <w:tcW w:type="dxa" w:w="3360"/>
            <w:vAlign w:val="center"/>
          </w:tcPr>
          <w:p>
            <w:pPr>
              <w:spacing w:after="40"/>
            </w:pPr>
            <w:r>
              <w:rPr>
                <w:sz w:val="18"/>
              </w:rPr>
              <w:t>age, gender, marital_status, education, education_field, distance_from_home</w:t>
            </w:r>
          </w:p>
        </w:tc>
        <w:tc>
          <w:tcPr>
            <w:tcW w:type="dxa" w:w="3360"/>
            <w:vAlign w:val="center"/>
          </w:tcPr>
          <w:p>
            <w:pPr>
              <w:spacing w:after="40"/>
            </w:pPr>
            <w:r>
              <w:rPr>
                <w:sz w:val="18"/>
              </w:rPr>
              <w:t>Basic demographic, education and commuting information.</w:t>
            </w:r>
          </w:p>
        </w:tc>
      </w:tr>
      <w:tr>
        <w:tc>
          <w:tcPr>
            <w:tcW w:type="dxa" w:w="3360"/>
            <w:vAlign w:val="center"/>
          </w:tcPr>
          <w:p>
            <w:pPr>
              <w:spacing w:after="40"/>
            </w:pPr>
            <w:r>
              <w:rPr>
                <w:sz w:val="18"/>
              </w:rPr>
              <w:t>Employment information</w:t>
            </w:r>
          </w:p>
        </w:tc>
        <w:tc>
          <w:tcPr>
            <w:tcW w:type="dxa" w:w="3360"/>
            <w:vAlign w:val="center"/>
          </w:tcPr>
          <w:p>
            <w:pPr>
              <w:spacing w:after="40"/>
            </w:pPr>
            <w:r>
              <w:rPr>
                <w:sz w:val="18"/>
              </w:rPr>
              <w:t>department, job_role, job_level, business_travel, job_involvement, over_time</w:t>
            </w:r>
          </w:p>
        </w:tc>
        <w:tc>
          <w:tcPr>
            <w:tcW w:type="dxa" w:w="3360"/>
            <w:vAlign w:val="center"/>
          </w:tcPr>
          <w:p>
            <w:pPr>
              <w:spacing w:after="40"/>
            </w:pPr>
            <w:r>
              <w:rPr>
                <w:sz w:val="18"/>
              </w:rPr>
              <w:t>Describes the employee's position and work conditions.</w:t>
            </w:r>
          </w:p>
        </w:tc>
      </w:tr>
      <w:tr>
        <w:tc>
          <w:tcPr>
            <w:tcW w:type="dxa" w:w="3360"/>
            <w:vAlign w:val="center"/>
          </w:tcPr>
          <w:p>
            <w:pPr>
              <w:spacing w:after="40"/>
            </w:pPr>
            <w:r>
              <w:rPr>
                <w:sz w:val="18"/>
              </w:rPr>
              <w:t>Salary and compensation</w:t>
            </w:r>
          </w:p>
        </w:tc>
        <w:tc>
          <w:tcPr>
            <w:tcW w:type="dxa" w:w="3360"/>
            <w:vAlign w:val="center"/>
          </w:tcPr>
          <w:p>
            <w:pPr>
              <w:spacing w:after="40"/>
            </w:pPr>
            <w:r>
              <w:rPr>
                <w:sz w:val="18"/>
              </w:rPr>
              <w:t>monthly_income, daily_rate, hourly_rate, monthly_rate, percent_salary_hike, stock_option_level</w:t>
            </w:r>
          </w:p>
        </w:tc>
        <w:tc>
          <w:tcPr>
            <w:tcW w:type="dxa" w:w="3360"/>
            <w:vAlign w:val="center"/>
          </w:tcPr>
          <w:p>
            <w:pPr>
              <w:spacing w:after="40"/>
            </w:pPr>
            <w:r>
              <w:rPr>
                <w:sz w:val="18"/>
              </w:rPr>
              <w:t>Contains income, payment-rate and compensation information.</w:t>
            </w:r>
          </w:p>
        </w:tc>
      </w:tr>
      <w:tr>
        <w:tc>
          <w:tcPr>
            <w:tcW w:type="dxa" w:w="3360"/>
            <w:vAlign w:val="center"/>
          </w:tcPr>
          <w:p>
            <w:pPr>
              <w:spacing w:after="40"/>
            </w:pPr>
            <w:r>
              <w:rPr>
                <w:sz w:val="18"/>
              </w:rPr>
              <w:t>Satisfaction and workplace</w:t>
            </w:r>
          </w:p>
        </w:tc>
        <w:tc>
          <w:tcPr>
            <w:tcW w:type="dxa" w:w="3360"/>
            <w:vAlign w:val="center"/>
          </w:tcPr>
          <w:p>
            <w:pPr>
              <w:spacing w:after="40"/>
            </w:pPr>
            <w:r>
              <w:rPr>
                <w:sz w:val="18"/>
              </w:rPr>
              <w:t>environment_satisfaction, job_satisfaction, relationship_satisfaction, work_life_balance</w:t>
            </w:r>
          </w:p>
        </w:tc>
        <w:tc>
          <w:tcPr>
            <w:tcW w:type="dxa" w:w="3360"/>
            <w:vAlign w:val="center"/>
          </w:tcPr>
          <w:p>
            <w:pPr>
              <w:spacing w:after="40"/>
            </w:pPr>
            <w:r>
              <w:rPr>
                <w:sz w:val="18"/>
              </w:rPr>
              <w:t>Numerical measures related to satisfaction and workplace experience.</w:t>
            </w:r>
          </w:p>
        </w:tc>
      </w:tr>
      <w:tr>
        <w:tc>
          <w:tcPr>
            <w:tcW w:type="dxa" w:w="3360"/>
            <w:vAlign w:val="center"/>
          </w:tcPr>
          <w:p>
            <w:pPr>
              <w:spacing w:after="40"/>
            </w:pPr>
            <w:r>
              <w:rPr>
                <w:sz w:val="18"/>
              </w:rPr>
              <w:t>Experience and tenure</w:t>
            </w:r>
          </w:p>
        </w:tc>
        <w:tc>
          <w:tcPr>
            <w:tcW w:type="dxa" w:w="3360"/>
            <w:vAlign w:val="center"/>
          </w:tcPr>
          <w:p>
            <w:pPr>
              <w:spacing w:after="40"/>
            </w:pPr>
            <w:r>
              <w:rPr>
                <w:sz w:val="18"/>
              </w:rPr>
              <w:t>total_working_years, years_at_company, years_in_current_role, years_since_last_promotion, years_with_curr_manager, num_companies_worked</w:t>
            </w:r>
          </w:p>
        </w:tc>
        <w:tc>
          <w:tcPr>
            <w:tcW w:type="dxa" w:w="3360"/>
            <w:vAlign w:val="center"/>
          </w:tcPr>
          <w:p>
            <w:pPr>
              <w:spacing w:after="40"/>
            </w:pPr>
            <w:r>
              <w:rPr>
                <w:sz w:val="18"/>
              </w:rPr>
              <w:t>Describes career experience, company tenure, promotion history and manager-related tenure.</w:t>
            </w:r>
          </w:p>
        </w:tc>
      </w:tr>
      <w:tr>
        <w:tc>
          <w:tcPr>
            <w:tcW w:type="dxa" w:w="3360"/>
            <w:vAlign w:val="center"/>
          </w:tcPr>
          <w:p>
            <w:pPr>
              <w:spacing w:after="40"/>
            </w:pPr>
            <w:r>
              <w:rPr>
                <w:sz w:val="18"/>
              </w:rPr>
              <w:t>Training and performance</w:t>
            </w:r>
          </w:p>
        </w:tc>
        <w:tc>
          <w:tcPr>
            <w:tcW w:type="dxa" w:w="3360"/>
            <w:vAlign w:val="center"/>
          </w:tcPr>
          <w:p>
            <w:pPr>
              <w:spacing w:after="40"/>
            </w:pPr>
            <w:r>
              <w:rPr>
                <w:sz w:val="18"/>
              </w:rPr>
              <w:t>training_times_last_year, performance_rating</w:t>
            </w:r>
          </w:p>
        </w:tc>
        <w:tc>
          <w:tcPr>
            <w:tcW w:type="dxa" w:w="3360"/>
            <w:vAlign w:val="center"/>
          </w:tcPr>
          <w:p>
            <w:pPr>
              <w:spacing w:after="40"/>
            </w:pPr>
            <w:r>
              <w:rPr>
                <w:sz w:val="18"/>
              </w:rPr>
              <w:t>Contains training frequency and employee performance information.</w:t>
            </w:r>
          </w:p>
        </w:tc>
      </w:tr>
    </w:tbl>
    <w:p>
      <w:pPr>
        <w:pStyle w:val="Heading1"/>
      </w:pPr>
      <w:r>
        <w:t>3. Data Preparation</w:t>
      </w:r>
    </w:p>
    <w:p>
      <w:pPr>
        <w:pStyle w:val="ListBullet"/>
      </w:pPr>
      <w:r>
        <w:t>Converted column names into consistent snake_case format.</w:t>
      </w:r>
    </w:p>
    <w:p>
      <w:pPr>
        <w:pStyle w:val="ListBullet"/>
      </w:pPr>
      <w:r>
        <w:t>Removed duplicate records when present.</w:t>
      </w:r>
    </w:p>
    <w:p>
      <w:pPr>
        <w:pStyle w:val="ListBullet"/>
      </w:pPr>
      <w:r>
        <w:t>Removed extra spaces from text values.</w:t>
      </w:r>
    </w:p>
    <w:p>
      <w:pPr>
        <w:pStyle w:val="ListBullet"/>
      </w:pPr>
      <w:r>
        <w:t>Removed columns that contained only one constant value.</w:t>
      </w:r>
    </w:p>
    <w:p>
      <w:pPr>
        <w:pStyle w:val="ListBullet"/>
      </w:pPr>
      <w:r>
        <w:t>Created attrition_flag where Yes = 1 and No = 0.</w:t>
      </w:r>
    </w:p>
    <w:p>
      <w:pPr>
        <w:pStyle w:val="ListBullet"/>
      </w:pPr>
      <w:r>
        <w:t>Created overtime_flag where Yes = 1 and No = 0.</w:t>
      </w:r>
    </w:p>
    <w:p>
      <w:r>
        <w:t>Constant columns removed: employee_count, over18, standard_hours</w:t>
      </w:r>
    </w:p>
    <w:p>
      <w:pPr>
        <w:pStyle w:val="Heading1"/>
      </w:pPr>
      <w:r>
        <w:t>4. Key Findings</w:t>
      </w:r>
    </w:p>
    <w:p>
      <w:pPr>
        <w:pStyle w:val="ListBullet"/>
      </w:pPr>
      <w:r>
        <w:t>The overall employee attrition rate is 16.12%.</w:t>
      </w:r>
    </w:p>
    <w:p>
      <w:pPr>
        <w:pStyle w:val="ListBullet"/>
      </w:pPr>
      <w:r>
        <w:t>Sales has the highest department-level attrition rate at 20.63%.</w:t>
      </w:r>
    </w:p>
    <w:p>
      <w:pPr>
        <w:pStyle w:val="ListBullet"/>
      </w:pPr>
      <w:r>
        <w:t>Sales Representative has the highest job-role attrition rate at 39.76%.</w:t>
      </w:r>
    </w:p>
    <w:p>
      <w:pPr>
        <w:pStyle w:val="ListBullet"/>
      </w:pPr>
      <w:r>
        <w:t>Employees working overtime have an attrition rate of 30.53%, compared with 10.44% for employees not working overtime.</w:t>
      </w:r>
    </w:p>
    <w:p>
      <w:pPr>
        <w:pStyle w:val="ListBullet"/>
      </w:pPr>
      <w:r>
        <w:t>The median monthly income is 3,202 for employees who left and 5,204 for employees who stayed.</w:t>
      </w:r>
    </w:p>
    <w:p>
      <w:pPr>
        <w:pStyle w:val="ListBullet"/>
      </w:pPr>
      <w:r>
        <w:t>Employees who left had spent an average of 5.13 years at the company, compared with 7.37 years for employees who stayed.</w:t>
      </w:r>
    </w:p>
    <w:p>
      <w:pPr>
        <w:pStyle w:val="ListBullet"/>
      </w:pPr>
      <w:r>
        <w:t>These findings show associations in the dataset and should not be interpreted as proof that one factor directly causes attrition.</w:t>
      </w:r>
    </w:p>
    <w:p>
      <w:pPr>
        <w:pStyle w:val="Heading1"/>
      </w:pPr>
      <w:r>
        <w:t>5. Attrition by Department</w:t>
      </w:r>
    </w:p>
    <w:p>
      <w:r>
        <w:t>The following table compares department size, employees who left and the attrition rate within each department.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spacing w:after="40"/>
            </w:pPr>
            <w:r>
              <w:rPr>
                <w:b/>
                <w:sz w:val="18"/>
              </w:rPr>
              <w:t>Department</w:t>
            </w:r>
          </w:p>
        </w:tc>
        <w:tc>
          <w:tcPr>
            <w:tcW w:type="dxa" w:w="2520"/>
            <w:shd w:fill="D9EAF7"/>
            <w:vAlign w:val="center"/>
          </w:tcPr>
          <w:p>
            <w:pPr>
              <w:spacing w:after="40"/>
            </w:pPr>
            <w:r>
              <w:rPr>
                <w:b/>
                <w:sz w:val="18"/>
              </w:rPr>
              <w:t>Employees</w:t>
            </w:r>
          </w:p>
        </w:tc>
        <w:tc>
          <w:tcPr>
            <w:tcW w:type="dxa" w:w="2520"/>
            <w:shd w:fill="D9EAF7"/>
            <w:vAlign w:val="center"/>
          </w:tcPr>
          <w:p>
            <w:pPr>
              <w:spacing w:after="40"/>
            </w:pPr>
            <w:r>
              <w:rPr>
                <w:b/>
                <w:sz w:val="18"/>
              </w:rPr>
              <w:t>Employees Left</w:t>
            </w:r>
          </w:p>
        </w:tc>
        <w:tc>
          <w:tcPr>
            <w:tcW w:type="dxa" w:w="2520"/>
            <w:shd w:fill="D9EAF7"/>
            <w:vAlign w:val="center"/>
          </w:tcPr>
          <w:p>
            <w:pPr>
              <w:spacing w:after="40"/>
            </w:pPr>
            <w:r>
              <w:rPr>
                <w:b/>
                <w:sz w:val="18"/>
              </w:rPr>
              <w:t>Attrition Rate</w:t>
            </w:r>
          </w:p>
        </w:tc>
      </w:tr>
      <w:tr>
        <w:tc>
          <w:tcPr>
            <w:tcW w:type="dxa" w:w="2520"/>
            <w:vAlign w:val="center"/>
          </w:tcPr>
          <w:p>
            <w:pPr>
              <w:spacing w:after="40"/>
            </w:pPr>
            <w:r>
              <w:rPr>
                <w:sz w:val="18"/>
              </w:rPr>
              <w:t>Sales</w:t>
            </w:r>
          </w:p>
        </w:tc>
        <w:tc>
          <w:tcPr>
            <w:tcW w:type="dxa" w:w="2520"/>
            <w:vAlign w:val="center"/>
          </w:tcPr>
          <w:p>
            <w:pPr>
              <w:spacing w:after="40"/>
            </w:pPr>
            <w:r>
              <w:rPr>
                <w:sz w:val="18"/>
              </w:rPr>
              <w:t>446</w:t>
            </w:r>
          </w:p>
        </w:tc>
        <w:tc>
          <w:tcPr>
            <w:tcW w:type="dxa" w:w="2520"/>
            <w:vAlign w:val="center"/>
          </w:tcPr>
          <w:p>
            <w:pPr>
              <w:spacing w:after="40"/>
            </w:pPr>
            <w:r>
              <w:rPr>
                <w:sz w:val="18"/>
              </w:rPr>
              <w:t>92</w:t>
            </w:r>
          </w:p>
        </w:tc>
        <w:tc>
          <w:tcPr>
            <w:tcW w:type="dxa" w:w="2520"/>
            <w:vAlign w:val="center"/>
          </w:tcPr>
          <w:p>
            <w:pPr>
              <w:spacing w:after="40"/>
            </w:pPr>
            <w:r>
              <w:rPr>
                <w:sz w:val="18"/>
              </w:rPr>
              <w:t>20.63%</w:t>
            </w:r>
          </w:p>
        </w:tc>
      </w:tr>
      <w:tr>
        <w:tc>
          <w:tcPr>
            <w:tcW w:type="dxa" w:w="2520"/>
            <w:vAlign w:val="center"/>
          </w:tcPr>
          <w:p>
            <w:pPr>
              <w:spacing w:after="40"/>
            </w:pPr>
            <w:r>
              <w:rPr>
                <w:sz w:val="18"/>
              </w:rPr>
              <w:t>Human Resources</w:t>
            </w:r>
          </w:p>
        </w:tc>
        <w:tc>
          <w:tcPr>
            <w:tcW w:type="dxa" w:w="2520"/>
            <w:vAlign w:val="center"/>
          </w:tcPr>
          <w:p>
            <w:pPr>
              <w:spacing w:after="40"/>
            </w:pPr>
            <w:r>
              <w:rPr>
                <w:sz w:val="18"/>
              </w:rPr>
              <w:t>63</w:t>
            </w:r>
          </w:p>
        </w:tc>
        <w:tc>
          <w:tcPr>
            <w:tcW w:type="dxa" w:w="2520"/>
            <w:vAlign w:val="center"/>
          </w:tcPr>
          <w:p>
            <w:pPr>
              <w:spacing w:after="40"/>
            </w:pPr>
            <w:r>
              <w:rPr>
                <w:sz w:val="18"/>
              </w:rPr>
              <w:t>12</w:t>
            </w:r>
          </w:p>
        </w:tc>
        <w:tc>
          <w:tcPr>
            <w:tcW w:type="dxa" w:w="2520"/>
            <w:vAlign w:val="center"/>
          </w:tcPr>
          <w:p>
            <w:pPr>
              <w:spacing w:after="40"/>
            </w:pPr>
            <w:r>
              <w:rPr>
                <w:sz w:val="18"/>
              </w:rPr>
              <w:t>19.05%</w:t>
            </w:r>
          </w:p>
        </w:tc>
      </w:tr>
      <w:tr>
        <w:tc>
          <w:tcPr>
            <w:tcW w:type="dxa" w:w="2520"/>
            <w:vAlign w:val="center"/>
          </w:tcPr>
          <w:p>
            <w:pPr>
              <w:spacing w:after="40"/>
            </w:pPr>
            <w:r>
              <w:rPr>
                <w:sz w:val="18"/>
              </w:rPr>
              <w:t>Research &amp; Development</w:t>
            </w:r>
          </w:p>
        </w:tc>
        <w:tc>
          <w:tcPr>
            <w:tcW w:type="dxa" w:w="2520"/>
            <w:vAlign w:val="center"/>
          </w:tcPr>
          <w:p>
            <w:pPr>
              <w:spacing w:after="40"/>
            </w:pPr>
            <w:r>
              <w:rPr>
                <w:sz w:val="18"/>
              </w:rPr>
              <w:t>961</w:t>
            </w:r>
          </w:p>
        </w:tc>
        <w:tc>
          <w:tcPr>
            <w:tcW w:type="dxa" w:w="2520"/>
            <w:vAlign w:val="center"/>
          </w:tcPr>
          <w:p>
            <w:pPr>
              <w:spacing w:after="40"/>
            </w:pPr>
            <w:r>
              <w:rPr>
                <w:sz w:val="18"/>
              </w:rPr>
              <w:t>133</w:t>
            </w:r>
          </w:p>
        </w:tc>
        <w:tc>
          <w:tcPr>
            <w:tcW w:type="dxa" w:w="2520"/>
            <w:vAlign w:val="center"/>
          </w:tcPr>
          <w:p>
            <w:pPr>
              <w:spacing w:after="40"/>
            </w:pPr>
            <w:r>
              <w:rPr>
                <w:sz w:val="18"/>
              </w:rPr>
              <w:t>13.84%</w:t>
            </w:r>
          </w:p>
        </w:tc>
      </w:tr>
    </w:tbl>
    <w:p>
      <w:pPr>
        <w:pStyle w:val="Heading1"/>
      </w:pPr>
      <w:r>
        <w:t>6. Attrition by Job Role</w:t>
      </w:r>
    </w:p>
    <w:p>
      <w:r>
        <w:t>Job-role attrition rates provide a more accurate comparison than departure counts alone because job roles have different numbers of employees.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spacing w:after="40"/>
            </w:pPr>
            <w:r>
              <w:rPr>
                <w:b/>
                <w:sz w:val="18"/>
              </w:rPr>
              <w:t>Job Role</w:t>
            </w:r>
          </w:p>
        </w:tc>
        <w:tc>
          <w:tcPr>
            <w:tcW w:type="dxa" w:w="2520"/>
            <w:shd w:fill="D9EAF7"/>
            <w:vAlign w:val="center"/>
          </w:tcPr>
          <w:p>
            <w:pPr>
              <w:spacing w:after="40"/>
            </w:pPr>
            <w:r>
              <w:rPr>
                <w:b/>
                <w:sz w:val="18"/>
              </w:rPr>
              <w:t>Employees</w:t>
            </w:r>
          </w:p>
        </w:tc>
        <w:tc>
          <w:tcPr>
            <w:tcW w:type="dxa" w:w="2520"/>
            <w:shd w:fill="D9EAF7"/>
            <w:vAlign w:val="center"/>
          </w:tcPr>
          <w:p>
            <w:pPr>
              <w:spacing w:after="40"/>
            </w:pPr>
            <w:r>
              <w:rPr>
                <w:b/>
                <w:sz w:val="18"/>
              </w:rPr>
              <w:t>Employees Left</w:t>
            </w:r>
          </w:p>
        </w:tc>
        <w:tc>
          <w:tcPr>
            <w:tcW w:type="dxa" w:w="2520"/>
            <w:shd w:fill="D9EAF7"/>
            <w:vAlign w:val="center"/>
          </w:tcPr>
          <w:p>
            <w:pPr>
              <w:spacing w:after="40"/>
            </w:pPr>
            <w:r>
              <w:rPr>
                <w:b/>
                <w:sz w:val="18"/>
              </w:rPr>
              <w:t>Attrition Rate</w:t>
            </w:r>
          </w:p>
        </w:tc>
      </w:tr>
      <w:tr>
        <w:tc>
          <w:tcPr>
            <w:tcW w:type="dxa" w:w="2520"/>
            <w:vAlign w:val="center"/>
          </w:tcPr>
          <w:p>
            <w:pPr>
              <w:spacing w:after="40"/>
            </w:pPr>
            <w:r>
              <w:rPr>
                <w:sz w:val="18"/>
              </w:rPr>
              <w:t>Sales Representative</w:t>
            </w:r>
          </w:p>
        </w:tc>
        <w:tc>
          <w:tcPr>
            <w:tcW w:type="dxa" w:w="2520"/>
            <w:vAlign w:val="center"/>
          </w:tcPr>
          <w:p>
            <w:pPr>
              <w:spacing w:after="40"/>
            </w:pPr>
            <w:r>
              <w:rPr>
                <w:sz w:val="18"/>
              </w:rPr>
              <w:t>83</w:t>
            </w:r>
          </w:p>
        </w:tc>
        <w:tc>
          <w:tcPr>
            <w:tcW w:type="dxa" w:w="2520"/>
            <w:vAlign w:val="center"/>
          </w:tcPr>
          <w:p>
            <w:pPr>
              <w:spacing w:after="40"/>
            </w:pPr>
            <w:r>
              <w:rPr>
                <w:sz w:val="18"/>
              </w:rPr>
              <w:t>33</w:t>
            </w:r>
          </w:p>
        </w:tc>
        <w:tc>
          <w:tcPr>
            <w:tcW w:type="dxa" w:w="2520"/>
            <w:vAlign w:val="center"/>
          </w:tcPr>
          <w:p>
            <w:pPr>
              <w:spacing w:after="40"/>
            </w:pPr>
            <w:r>
              <w:rPr>
                <w:sz w:val="18"/>
              </w:rPr>
              <w:t>39.76%</w:t>
            </w:r>
          </w:p>
        </w:tc>
      </w:tr>
      <w:tr>
        <w:tc>
          <w:tcPr>
            <w:tcW w:type="dxa" w:w="2520"/>
            <w:vAlign w:val="center"/>
          </w:tcPr>
          <w:p>
            <w:pPr>
              <w:spacing w:after="40"/>
            </w:pPr>
            <w:r>
              <w:rPr>
                <w:sz w:val="18"/>
              </w:rPr>
              <w:t>Laboratory Technician</w:t>
            </w:r>
          </w:p>
        </w:tc>
        <w:tc>
          <w:tcPr>
            <w:tcW w:type="dxa" w:w="2520"/>
            <w:vAlign w:val="center"/>
          </w:tcPr>
          <w:p>
            <w:pPr>
              <w:spacing w:after="40"/>
            </w:pPr>
            <w:r>
              <w:rPr>
                <w:sz w:val="18"/>
              </w:rPr>
              <w:t>259</w:t>
            </w:r>
          </w:p>
        </w:tc>
        <w:tc>
          <w:tcPr>
            <w:tcW w:type="dxa" w:w="2520"/>
            <w:vAlign w:val="center"/>
          </w:tcPr>
          <w:p>
            <w:pPr>
              <w:spacing w:after="40"/>
            </w:pPr>
            <w:r>
              <w:rPr>
                <w:sz w:val="18"/>
              </w:rPr>
              <w:t>62</w:t>
            </w:r>
          </w:p>
        </w:tc>
        <w:tc>
          <w:tcPr>
            <w:tcW w:type="dxa" w:w="2520"/>
            <w:vAlign w:val="center"/>
          </w:tcPr>
          <w:p>
            <w:pPr>
              <w:spacing w:after="40"/>
            </w:pPr>
            <w:r>
              <w:rPr>
                <w:sz w:val="18"/>
              </w:rPr>
              <w:t>23.94%</w:t>
            </w:r>
          </w:p>
        </w:tc>
      </w:tr>
      <w:tr>
        <w:tc>
          <w:tcPr>
            <w:tcW w:type="dxa" w:w="2520"/>
            <w:vAlign w:val="center"/>
          </w:tcPr>
          <w:p>
            <w:pPr>
              <w:spacing w:after="40"/>
            </w:pPr>
            <w:r>
              <w:rPr>
                <w:sz w:val="18"/>
              </w:rPr>
              <w:t>Human Resources</w:t>
            </w:r>
          </w:p>
        </w:tc>
        <w:tc>
          <w:tcPr>
            <w:tcW w:type="dxa" w:w="2520"/>
            <w:vAlign w:val="center"/>
          </w:tcPr>
          <w:p>
            <w:pPr>
              <w:spacing w:after="40"/>
            </w:pPr>
            <w:r>
              <w:rPr>
                <w:sz w:val="18"/>
              </w:rPr>
              <w:t>52</w:t>
            </w:r>
          </w:p>
        </w:tc>
        <w:tc>
          <w:tcPr>
            <w:tcW w:type="dxa" w:w="2520"/>
            <w:vAlign w:val="center"/>
          </w:tcPr>
          <w:p>
            <w:pPr>
              <w:spacing w:after="40"/>
            </w:pPr>
            <w:r>
              <w:rPr>
                <w:sz w:val="18"/>
              </w:rPr>
              <w:t>12</w:t>
            </w:r>
          </w:p>
        </w:tc>
        <w:tc>
          <w:tcPr>
            <w:tcW w:type="dxa" w:w="2520"/>
            <w:vAlign w:val="center"/>
          </w:tcPr>
          <w:p>
            <w:pPr>
              <w:spacing w:after="40"/>
            </w:pPr>
            <w:r>
              <w:rPr>
                <w:sz w:val="18"/>
              </w:rPr>
              <w:t>23.08%</w:t>
            </w:r>
          </w:p>
        </w:tc>
      </w:tr>
      <w:tr>
        <w:tc>
          <w:tcPr>
            <w:tcW w:type="dxa" w:w="2520"/>
            <w:vAlign w:val="center"/>
          </w:tcPr>
          <w:p>
            <w:pPr>
              <w:spacing w:after="40"/>
            </w:pPr>
            <w:r>
              <w:rPr>
                <w:sz w:val="18"/>
              </w:rPr>
              <w:t>Sales Executive</w:t>
            </w:r>
          </w:p>
        </w:tc>
        <w:tc>
          <w:tcPr>
            <w:tcW w:type="dxa" w:w="2520"/>
            <w:vAlign w:val="center"/>
          </w:tcPr>
          <w:p>
            <w:pPr>
              <w:spacing w:after="40"/>
            </w:pPr>
            <w:r>
              <w:rPr>
                <w:sz w:val="18"/>
              </w:rPr>
              <w:t>326</w:t>
            </w:r>
          </w:p>
        </w:tc>
        <w:tc>
          <w:tcPr>
            <w:tcW w:type="dxa" w:w="2520"/>
            <w:vAlign w:val="center"/>
          </w:tcPr>
          <w:p>
            <w:pPr>
              <w:spacing w:after="40"/>
            </w:pPr>
            <w:r>
              <w:rPr>
                <w:sz w:val="18"/>
              </w:rPr>
              <w:t>57</w:t>
            </w:r>
          </w:p>
        </w:tc>
        <w:tc>
          <w:tcPr>
            <w:tcW w:type="dxa" w:w="2520"/>
            <w:vAlign w:val="center"/>
          </w:tcPr>
          <w:p>
            <w:pPr>
              <w:spacing w:after="40"/>
            </w:pPr>
            <w:r>
              <w:rPr>
                <w:sz w:val="18"/>
              </w:rPr>
              <w:t>17.48%</w:t>
            </w:r>
          </w:p>
        </w:tc>
      </w:tr>
      <w:tr>
        <w:tc>
          <w:tcPr>
            <w:tcW w:type="dxa" w:w="2520"/>
            <w:vAlign w:val="center"/>
          </w:tcPr>
          <w:p>
            <w:pPr>
              <w:spacing w:after="40"/>
            </w:pPr>
            <w:r>
              <w:rPr>
                <w:sz w:val="18"/>
              </w:rPr>
              <w:t>Research Scientist</w:t>
            </w:r>
          </w:p>
        </w:tc>
        <w:tc>
          <w:tcPr>
            <w:tcW w:type="dxa" w:w="2520"/>
            <w:vAlign w:val="center"/>
          </w:tcPr>
          <w:p>
            <w:pPr>
              <w:spacing w:after="40"/>
            </w:pPr>
            <w:r>
              <w:rPr>
                <w:sz w:val="18"/>
              </w:rPr>
              <w:t>292</w:t>
            </w:r>
          </w:p>
        </w:tc>
        <w:tc>
          <w:tcPr>
            <w:tcW w:type="dxa" w:w="2520"/>
            <w:vAlign w:val="center"/>
          </w:tcPr>
          <w:p>
            <w:pPr>
              <w:spacing w:after="40"/>
            </w:pPr>
            <w:r>
              <w:rPr>
                <w:sz w:val="18"/>
              </w:rPr>
              <w:t>47</w:t>
            </w:r>
          </w:p>
        </w:tc>
        <w:tc>
          <w:tcPr>
            <w:tcW w:type="dxa" w:w="2520"/>
            <w:vAlign w:val="center"/>
          </w:tcPr>
          <w:p>
            <w:pPr>
              <w:spacing w:after="40"/>
            </w:pPr>
            <w:r>
              <w:rPr>
                <w:sz w:val="18"/>
              </w:rPr>
              <w:t>16.10%</w:t>
            </w:r>
          </w:p>
        </w:tc>
      </w:tr>
      <w:tr>
        <w:tc>
          <w:tcPr>
            <w:tcW w:type="dxa" w:w="2520"/>
            <w:vAlign w:val="center"/>
          </w:tcPr>
          <w:p>
            <w:pPr>
              <w:spacing w:after="40"/>
            </w:pPr>
            <w:r>
              <w:rPr>
                <w:sz w:val="18"/>
              </w:rPr>
              <w:t>Manufacturing Director</w:t>
            </w:r>
          </w:p>
        </w:tc>
        <w:tc>
          <w:tcPr>
            <w:tcW w:type="dxa" w:w="2520"/>
            <w:vAlign w:val="center"/>
          </w:tcPr>
          <w:p>
            <w:pPr>
              <w:spacing w:after="40"/>
            </w:pPr>
            <w:r>
              <w:rPr>
                <w:sz w:val="18"/>
              </w:rPr>
              <w:t>145</w:t>
            </w:r>
          </w:p>
        </w:tc>
        <w:tc>
          <w:tcPr>
            <w:tcW w:type="dxa" w:w="2520"/>
            <w:vAlign w:val="center"/>
          </w:tcPr>
          <w:p>
            <w:pPr>
              <w:spacing w:after="40"/>
            </w:pPr>
            <w:r>
              <w:rPr>
                <w:sz w:val="18"/>
              </w:rPr>
              <w:t>10</w:t>
            </w:r>
          </w:p>
        </w:tc>
        <w:tc>
          <w:tcPr>
            <w:tcW w:type="dxa" w:w="2520"/>
            <w:vAlign w:val="center"/>
          </w:tcPr>
          <w:p>
            <w:pPr>
              <w:spacing w:after="40"/>
            </w:pPr>
            <w:r>
              <w:rPr>
                <w:sz w:val="18"/>
              </w:rPr>
              <w:t>6.90%</w:t>
            </w:r>
          </w:p>
        </w:tc>
      </w:tr>
      <w:tr>
        <w:tc>
          <w:tcPr>
            <w:tcW w:type="dxa" w:w="2520"/>
            <w:vAlign w:val="center"/>
          </w:tcPr>
          <w:p>
            <w:pPr>
              <w:spacing w:after="40"/>
            </w:pPr>
            <w:r>
              <w:rPr>
                <w:sz w:val="18"/>
              </w:rPr>
              <w:t>Healthcare Representative</w:t>
            </w:r>
          </w:p>
        </w:tc>
        <w:tc>
          <w:tcPr>
            <w:tcW w:type="dxa" w:w="2520"/>
            <w:vAlign w:val="center"/>
          </w:tcPr>
          <w:p>
            <w:pPr>
              <w:spacing w:after="40"/>
            </w:pPr>
            <w:r>
              <w:rPr>
                <w:sz w:val="18"/>
              </w:rPr>
              <w:t>131</w:t>
            </w:r>
          </w:p>
        </w:tc>
        <w:tc>
          <w:tcPr>
            <w:tcW w:type="dxa" w:w="2520"/>
            <w:vAlign w:val="center"/>
          </w:tcPr>
          <w:p>
            <w:pPr>
              <w:spacing w:after="40"/>
            </w:pPr>
            <w:r>
              <w:rPr>
                <w:sz w:val="18"/>
              </w:rPr>
              <w:t>9</w:t>
            </w:r>
          </w:p>
        </w:tc>
        <w:tc>
          <w:tcPr>
            <w:tcW w:type="dxa" w:w="2520"/>
            <w:vAlign w:val="center"/>
          </w:tcPr>
          <w:p>
            <w:pPr>
              <w:spacing w:after="40"/>
            </w:pPr>
            <w:r>
              <w:rPr>
                <w:sz w:val="18"/>
              </w:rPr>
              <w:t>6.87%</w:t>
            </w:r>
          </w:p>
        </w:tc>
      </w:tr>
      <w:tr>
        <w:tc>
          <w:tcPr>
            <w:tcW w:type="dxa" w:w="2520"/>
            <w:vAlign w:val="center"/>
          </w:tcPr>
          <w:p>
            <w:pPr>
              <w:spacing w:after="40"/>
            </w:pPr>
            <w:r>
              <w:rPr>
                <w:sz w:val="18"/>
              </w:rPr>
              <w:t>Manager</w:t>
            </w:r>
          </w:p>
        </w:tc>
        <w:tc>
          <w:tcPr>
            <w:tcW w:type="dxa" w:w="2520"/>
            <w:vAlign w:val="center"/>
          </w:tcPr>
          <w:p>
            <w:pPr>
              <w:spacing w:after="40"/>
            </w:pPr>
            <w:r>
              <w:rPr>
                <w:sz w:val="18"/>
              </w:rPr>
              <w:t>102</w:t>
            </w:r>
          </w:p>
        </w:tc>
        <w:tc>
          <w:tcPr>
            <w:tcW w:type="dxa" w:w="2520"/>
            <w:vAlign w:val="center"/>
          </w:tcPr>
          <w:p>
            <w:pPr>
              <w:spacing w:after="40"/>
            </w:pPr>
            <w:r>
              <w:rPr>
                <w:sz w:val="18"/>
              </w:rPr>
              <w:t>5</w:t>
            </w:r>
          </w:p>
        </w:tc>
        <w:tc>
          <w:tcPr>
            <w:tcW w:type="dxa" w:w="2520"/>
            <w:vAlign w:val="center"/>
          </w:tcPr>
          <w:p>
            <w:pPr>
              <w:spacing w:after="40"/>
            </w:pPr>
            <w:r>
              <w:rPr>
                <w:sz w:val="18"/>
              </w:rPr>
              <w:t>4.90%</w:t>
            </w:r>
          </w:p>
        </w:tc>
      </w:tr>
      <w:tr>
        <w:tc>
          <w:tcPr>
            <w:tcW w:type="dxa" w:w="2520"/>
            <w:vAlign w:val="center"/>
          </w:tcPr>
          <w:p>
            <w:pPr>
              <w:spacing w:after="40"/>
            </w:pPr>
            <w:r>
              <w:rPr>
                <w:sz w:val="18"/>
              </w:rPr>
              <w:t>Research Director</w:t>
            </w:r>
          </w:p>
        </w:tc>
        <w:tc>
          <w:tcPr>
            <w:tcW w:type="dxa" w:w="2520"/>
            <w:vAlign w:val="center"/>
          </w:tcPr>
          <w:p>
            <w:pPr>
              <w:spacing w:after="40"/>
            </w:pPr>
            <w:r>
              <w:rPr>
                <w:sz w:val="18"/>
              </w:rPr>
              <w:t>80</w:t>
            </w:r>
          </w:p>
        </w:tc>
        <w:tc>
          <w:tcPr>
            <w:tcW w:type="dxa" w:w="2520"/>
            <w:vAlign w:val="center"/>
          </w:tcPr>
          <w:p>
            <w:pPr>
              <w:spacing w:after="40"/>
            </w:pPr>
            <w:r>
              <w:rPr>
                <w:sz w:val="18"/>
              </w:rPr>
              <w:t>2</w:t>
            </w:r>
          </w:p>
        </w:tc>
        <w:tc>
          <w:tcPr>
            <w:tcW w:type="dxa" w:w="2520"/>
            <w:vAlign w:val="center"/>
          </w:tcPr>
          <w:p>
            <w:pPr>
              <w:spacing w:after="40"/>
            </w:pPr>
            <w:r>
              <w:rPr>
                <w:sz w:val="18"/>
              </w:rPr>
              <w:t>2.50%</w:t>
            </w:r>
          </w:p>
        </w:tc>
      </w:tr>
    </w:tbl>
    <w:p>
      <w:pPr>
        <w:pStyle w:val="Heading1"/>
      </w:pPr>
      <w:r>
        <w:t>7. Visual Analysis</w:t>
      </w:r>
    </w:p>
    <w:p>
      <w:r>
        <w:drawing>
          <wp:inline xmlns:a="http://schemas.openxmlformats.org/drawingml/2006/main" xmlns:pic="http://schemas.openxmlformats.org/drawingml/2006/picture">
            <wp:extent cx="5760720" cy="4114800"/>
            <wp:docPr id="1" name="Picture 1"/>
            <wp:cNvGraphicFramePr>
              <a:graphicFrameLocks noChangeAspect="1"/>
            </wp:cNvGraphicFramePr>
            <a:graphic>
              <a:graphicData uri="http://schemas.openxmlformats.org/drawingml/2006/picture">
                <pic:pic>
                  <pic:nvPicPr>
                    <pic:cNvPr id="0" name="attrition_distribution.png"/>
                    <pic:cNvPicPr/>
                  </pic:nvPicPr>
                  <pic:blipFill>
                    <a:blip r:embed="rId9"/>
                    <a:stretch>
                      <a:fillRect/>
                    </a:stretch>
                  </pic:blipFill>
                  <pic:spPr>
                    <a:xfrm>
                      <a:off x="0" y="0"/>
                      <a:ext cx="5760720" cy="4114800"/>
                    </a:xfrm>
                    <a:prstGeom prst="rect"/>
                  </pic:spPr>
                </pic:pic>
              </a:graphicData>
            </a:graphic>
          </wp:inline>
        </w:drawing>
      </w:r>
    </w:p>
    <w:p>
      <w:pPr>
        <w:jc w:val="center"/>
      </w:pPr>
      <w:r>
        <w:rPr>
          <w:b/>
        </w:rPr>
        <w:t>Figure 1: Employee Attrition Distribution</w:t>
      </w:r>
    </w:p>
    <w:p>
      <w:pPr>
        <w:jc w:val="center"/>
      </w:pPr>
      <w:r>
        <w:t>Comparison of employees who stayed and employees who left.</w:t>
      </w:r>
    </w:p>
    <w:p>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attrition_by_department.png"/>
                    <pic:cNvPicPr/>
                  </pic:nvPicPr>
                  <pic:blipFill>
                    <a:blip r:embed="rId10"/>
                    <a:stretch>
                      <a:fillRect/>
                    </a:stretch>
                  </pic:blipFill>
                  <pic:spPr>
                    <a:xfrm>
                      <a:off x="0" y="0"/>
                      <a:ext cx="5760720" cy="3200400"/>
                    </a:xfrm>
                    <a:prstGeom prst="rect"/>
                  </pic:spPr>
                </pic:pic>
              </a:graphicData>
            </a:graphic>
          </wp:inline>
        </w:drawing>
      </w:r>
    </w:p>
    <w:p>
      <w:pPr>
        <w:jc w:val="center"/>
      </w:pPr>
      <w:r>
        <w:rPr>
          <w:b/>
        </w:rPr>
        <w:t>Figure 2: Attrition Rate by Department</w:t>
      </w:r>
    </w:p>
    <w:p>
      <w:pPr>
        <w:jc w:val="center"/>
      </w:pPr>
      <w:r>
        <w:t>Percentage of employees leaving within each department.</w:t>
      </w:r>
    </w:p>
    <w:p>
      <w:r>
        <w:drawing>
          <wp:inline xmlns:a="http://schemas.openxmlformats.org/drawingml/2006/main" xmlns:pic="http://schemas.openxmlformats.org/drawingml/2006/picture">
            <wp:extent cx="5760720" cy="4032504"/>
            <wp:docPr id="3" name="Picture 3"/>
            <wp:cNvGraphicFramePr>
              <a:graphicFrameLocks noChangeAspect="1"/>
            </wp:cNvGraphicFramePr>
            <a:graphic>
              <a:graphicData uri="http://schemas.openxmlformats.org/drawingml/2006/picture">
                <pic:pic>
                  <pic:nvPicPr>
                    <pic:cNvPr id="0" name="attrition_by_job_role.png"/>
                    <pic:cNvPicPr/>
                  </pic:nvPicPr>
                  <pic:blipFill>
                    <a:blip r:embed="rId11"/>
                    <a:stretch>
                      <a:fillRect/>
                    </a:stretch>
                  </pic:blipFill>
                  <pic:spPr>
                    <a:xfrm>
                      <a:off x="0" y="0"/>
                      <a:ext cx="5760720" cy="4032504"/>
                    </a:xfrm>
                    <a:prstGeom prst="rect"/>
                  </pic:spPr>
                </pic:pic>
              </a:graphicData>
            </a:graphic>
          </wp:inline>
        </w:drawing>
      </w:r>
    </w:p>
    <w:p>
      <w:pPr>
        <w:jc w:val="center"/>
      </w:pPr>
      <w:r>
        <w:rPr>
          <w:b/>
        </w:rPr>
        <w:t>Figure 3: Attrition Rate by Job Role</w:t>
      </w:r>
    </w:p>
    <w:p>
      <w:pPr>
        <w:jc w:val="center"/>
      </w:pPr>
      <w:r>
        <w:t>Comparison of attrition rates across different job roles.</w:t>
      </w:r>
    </w:p>
    <w:p>
      <w:r>
        <w:drawing>
          <wp:inline xmlns:a="http://schemas.openxmlformats.org/drawingml/2006/main" xmlns:pic="http://schemas.openxmlformats.org/drawingml/2006/picture">
            <wp:extent cx="5760720" cy="4114800"/>
            <wp:docPr id="4" name="Picture 4"/>
            <wp:cNvGraphicFramePr>
              <a:graphicFrameLocks noChangeAspect="1"/>
            </wp:cNvGraphicFramePr>
            <a:graphic>
              <a:graphicData uri="http://schemas.openxmlformats.org/drawingml/2006/picture">
                <pic:pic>
                  <pic:nvPicPr>
                    <pic:cNvPr id="0" name="attrition_by_overtime.png"/>
                    <pic:cNvPicPr/>
                  </pic:nvPicPr>
                  <pic:blipFill>
                    <a:blip r:embed="rId12"/>
                    <a:stretch>
                      <a:fillRect/>
                    </a:stretch>
                  </pic:blipFill>
                  <pic:spPr>
                    <a:xfrm>
                      <a:off x="0" y="0"/>
                      <a:ext cx="5760720" cy="4114800"/>
                    </a:xfrm>
                    <a:prstGeom prst="rect"/>
                  </pic:spPr>
                </pic:pic>
              </a:graphicData>
            </a:graphic>
          </wp:inline>
        </w:drawing>
      </w:r>
    </w:p>
    <w:p>
      <w:pPr>
        <w:jc w:val="center"/>
      </w:pPr>
      <w:r>
        <w:rPr>
          <w:b/>
        </w:rPr>
        <w:t>Figure 4: Attrition Rate by Overtime</w:t>
      </w:r>
    </w:p>
    <w:p>
      <w:pPr>
        <w:jc w:val="center"/>
      </w:pPr>
      <w:r>
        <w:t>Comparison between employees who work overtime and those who do not.</w:t>
      </w:r>
    </w:p>
    <w:p>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income_by_attrition.png"/>
                    <pic:cNvPicPr/>
                  </pic:nvPicPr>
                  <pic:blipFill>
                    <a:blip r:embed="rId13"/>
                    <a:stretch>
                      <a:fillRect/>
                    </a:stretch>
                  </pic:blipFill>
                  <pic:spPr>
                    <a:xfrm>
                      <a:off x="0" y="0"/>
                      <a:ext cx="5760720" cy="3600450"/>
                    </a:xfrm>
                    <a:prstGeom prst="rect"/>
                  </pic:spPr>
                </pic:pic>
              </a:graphicData>
            </a:graphic>
          </wp:inline>
        </w:drawing>
      </w:r>
    </w:p>
    <w:p>
      <w:pPr>
        <w:jc w:val="center"/>
      </w:pPr>
      <w:r>
        <w:rPr>
          <w:b/>
        </w:rPr>
        <w:t>Figure 5: Monthly Income by Attrition Status</w:t>
      </w:r>
    </w:p>
    <w:p>
      <w:pPr>
        <w:jc w:val="center"/>
      </w:pPr>
      <w:r>
        <w:t>Distribution of monthly income for employees who stayed and left.</w:t>
      </w:r>
    </w:p>
    <w:p>
      <w:pPr>
        <w:pStyle w:val="Heading1"/>
      </w:pPr>
      <w:r>
        <w:t>8. Conclusion</w:t>
      </w:r>
    </w:p>
    <w:p>
      <w:r>
        <w:t>The analysis highlights differences in attrition across departments, job roles, overtime conditions, income and tenure. These findings can help HR teams identify groups requiring further investigation and design more targeted employee-retention strategies.</w:t>
      </w:r>
    </w:p>
    <w:p>
      <w:pPr>
        <w:pStyle w:val="Heading1"/>
      </w:pPr>
      <w:r>
        <w:t>9. Limitations</w:t>
      </w:r>
    </w:p>
    <w:p>
      <w:pPr>
        <w:pStyle w:val="ListBullet"/>
      </w:pPr>
      <w:r>
        <w:t>The dataset identifies statistical relationships but does not establish direct causation.</w:t>
      </w:r>
    </w:p>
    <w:p>
      <w:pPr>
        <w:pStyle w:val="ListBullet"/>
      </w:pPr>
      <w:r>
        <w:t>The dataset does not include employee comments, exit-interview responses or detailed organisational policies.</w:t>
      </w:r>
    </w:p>
    <w:p>
      <w:pPr>
        <w:pStyle w:val="ListBullet"/>
      </w:pPr>
      <w:r>
        <w:t>Some categorical ratings are stored as numerical codes, while their full label definitions are not included in the CSV.</w:t>
      </w:r>
    </w:p>
    <w:p>
      <w:pPr>
        <w:pStyle w:val="ListBullet"/>
      </w:pPr>
      <w:r>
        <w:t>Attrition is imbalanced because substantially more employees stayed than left. This must be considered during modelling.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