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Nawa Legacy Office Test</w:t>
      </w:r>
    </w:p>
    <w:p>
      <w:r>
        <w:rPr>
          <w:b/>
        </w:rPr>
        <w:t xml:space="preserve">Bold text</w:t>
      </w:r>
      <w:r>
        <w:t xml:space="preserve"> / </w:t>
      </w:r>
      <w:r>
        <w:rPr>
          <w:i/>
        </w:rPr>
        <w:t xml:space="preserve">Italic text</w:t>
      </w:r>
      <w:r>
        <w:t xml:space="preserve"> / </w:t>
      </w:r>
      <w:r>
        <w:rPr>
          <w:u w:val="single"/>
        </w:rPr>
        <w:t xml:space="preserve">Underlined text</w:t>
      </w:r>
      <w:r>
        <w:t xml:space="preserve"> / </w:t>
      </w:r>
      <w:r>
        <w:rPr>
          <w:color w:val="306EB4"/>
        </w:rPr>
        <w:t xml:space="preserve">Blue text</w:t>
      </w:r>
    </w:p>
    <w:p>
      <w:r>
        <w:t xml:space="preserve">English: Hello world</w:t>
      </w:r>
    </w:p>
    <w:p>
      <w:r>
        <w:t xml:space="preserve">Japanese: テスト文書</w:t>
      </w:r>
    </w:p>
    <w:p>
      <w:r>
        <w:t xml:space="preserve">Arabic: مرحبا بالعالم</w:t>
      </w:r>
    </w:p>
    <w:p>
      <w:pPr>
        <w:numPr>
          <w:ilvl w:val="0"/>
          <w:numId w:val="1"/>
        </w:numPr>
      </w:pPr>
      <w:r>
        <w:t xml:space="preserve">Bullet item one</w:t>
      </w:r>
    </w:p>
    <w:p>
      <w:pPr>
        <w:numPr>
          <w:ilvl w:val="0"/>
          <w:numId w:val="1"/>
        </w:numPr>
      </w:pPr>
      <w:r>
        <w:t xml:space="preserve">Bullet item two</w:t>
      </w:r>
    </w:p>
    <w:tbl>
      <w:tblPr>
        <w:tblW w:w="9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DE8F4"/>
          </w:tcPr>
          <w:p>
            <w:r>
              <w:t xml:space="preserve">Item</w:t>
            </w:r>
          </w:p>
        </w:tc>
        <w:tc>
          <w:tcPr>
            <w:tcW w:w="3000" w:type="dxa"/>
            <w:shd w:fill="DDE8F4"/>
          </w:tcPr>
          <w:p>
            <w:r>
              <w:t xml:space="preserve">Count</w:t>
            </w:r>
          </w:p>
        </w:tc>
        <w:tc>
          <w:tcPr>
            <w:tcW w:w="3000" w:type="dxa"/>
            <w:shd w:fill="DDE8F4"/>
          </w:tcPr>
          <w:p>
            <w:r>
              <w:t xml:space="preserve">Price</w:t>
            </w:r>
          </w:p>
        </w:tc>
      </w:tr>
      <w:tr>
        <w:tc>
          <w:tcPr>
            <w:tcW w:w="3000" w:type="dxa"/>
          </w:tcPr>
          <w:p>
            <w:r>
              <w:t xml:space="preserve">Pencil</w:t>
            </w:r>
          </w:p>
        </w:tc>
        <w:tc>
          <w:tcPr>
            <w:tcW w:w="30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2.50</w:t>
            </w:r>
          </w:p>
        </w:tc>
      </w:tr>
      <w:tr>
        <w:tc>
          <w:tcPr>
            <w:tcW w:w="3000" w:type="dxa"/>
          </w:tcPr>
          <w:p>
            <w:r>
              <w:t xml:space="preserve">Notebook</w:t>
            </w:r>
          </w:p>
        </w:tc>
        <w:tc>
          <w:tcPr>
            <w:tcW w:w="3000" w:type="dxa"/>
          </w:tcPr>
          <w:p>
            <w:r>
              <w:t xml:space="preserve">5</w:t>
            </w:r>
          </w:p>
        </w:tc>
        <w:tc>
          <w:tcPr>
            <w:tcW w:w="3000" w:type="dxa"/>
          </w:tcPr>
          <w:p>
            <w:r>
              <w:t xml:space="preserve">12.75</w:t>
            </w:r>
          </w:p>
        </w:tc>
      </w:tr>
      <w:tr>
        <w:tc>
          <w:tcPr>
            <w:tcW w:w="3000" w:type="dxa"/>
          </w:tcPr>
          <w:p>
            <w:r>
              <w:t xml:space="preserve">Total</w:t>
            </w:r>
          </w:p>
        </w:tc>
        <w:tc>
          <w:tcPr>
            <w:tcW w:w="3000" w:type="dxa"/>
          </w:tcPr>
          <w:p>
            <w:r>
              <w:t xml:space="preserve">8</w:t>
            </w:r>
          </w:p>
        </w:tc>
        <w:tc>
          <w:tcPr>
            <w:tcW w:w="3000" w:type="dxa"/>
          </w:tcPr>
          <w:p>
            <w:r>
              <w:t xml:space="preserve">15.25</w:t>
            </w:r>
          </w:p>
        </w:tc>
      </w:tr>
    </w:tbl>
    <w:p>
      <w:r>
        <w:drawing>
          <wp:inline distT="0" distB="0" distL="0" distR="0">
            <wp:extent cx="2560000" cy="1280000"/>
            <wp:docPr id="1" name="Test image" descr="Blue and yellow checkerboard"/>
            <a:graphic>
              <a:graphicData uri="http://schemas.openxmlformats.org/drawingml/2006/picture">
                <pic:pic>
                  <pic:nvPicPr>
                    <pic:cNvPr id="1" name="sample-image.png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2560000" cy="1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hyperlink r:id="rLink">
        <w:r>
          <w:rPr>
            <w:color w:val="0563C1"/>
            <w:u w:val="single"/>
          </w:rPr>
          <w:t xml:space="preserve">Example link</w:t>
        </w:r>
      </w:hyperlink>
    </w:p>
    <w:p>
      <w:r>
        <w:br w:type="page"/>
      </w:r>
    </w:p>
    <w:p>
      <w:pPr>
        <w:pStyle w:val="Heading1"/>
      </w:pPr>
      <w:r>
        <w:t xml:space="preserve">Second page marker</w:t>
      </w:r>
    </w:p>
    <w:p>
      <w:r>
        <w:t xml:space="preserve">Editable sentence before saving.</w:t>
      </w:r>
    </w:p>
    <w:sectPr>
      <w:headerReference w:type="default" r:id="rHeader"/>
      <w:footerReference w:type="default" r:id="rFooter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r>
      <w:t xml:space="preserve">Nawa fixture footer</w:t>
    </w:r>
  </w:p>
</w:ftr>
</file>

<file path=word/header1.xml><?xml version="1.0" encoding="utf-8"?>
<w:hdr xmlns:w="http://schemas.openxmlformats.org/wordprocessingml/2006/main">
  <w:p>
    <w:r>
      <w:t xml:space="preserve">Nawa fixture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Arial" w:cs="Arial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Image" Type="http://schemas.openxmlformats.org/officeDocument/2006/relationships/image" Target="media/sample-image.png"/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Link" Type="http://schemas.openxmlformats.org/officeDocument/2006/relationships/hyperlink" Target="https://example.org" TargetMode="External"/></Relationships>
</file>