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80" w:line="312" w:lineRule="auto"/>
        <w:jc w:val="center"/>
      </w:pPr>
      <w:r>
        <w:rPr>
          <w:b/>
          <w:color w:val="000000"/>
          <w:sz w:val="32"/>
        </w:rPr>
        <w:t>ECOTRACK: ESG SUSTAINABILITY MANAGEMENT PLATFORM FOR ENTERPRISE CARBON ACCOUNTING AND GOVERNANCE</w:t>
      </w:r>
    </w:p>
    <w:p>
      <w:pPr>
        <w:spacing w:before="160" w:after="160"/>
        <w:jc w:val="center"/>
      </w:pPr>
      <w:r>
        <w:rPr>
          <w:b/>
          <w:color w:val="000000"/>
          <w:sz w:val="28"/>
        </w:rPr>
        <w:t>A PROJECT REPORT</w:t>
        <w:br/>
        <w:t>Submitted by</w:t>
      </w:r>
    </w:p>
    <w:p>
      <w:pPr>
        <w:spacing w:before="160" w:after="240"/>
        <w:jc w:val="center"/>
      </w:pPr>
      <w:r>
        <w:rPr>
          <w:b/>
          <w:color w:val="000000"/>
          <w:sz w:val="28"/>
        </w:rPr>
        <w:t>ABDUL RAHMAN N</w:t>
        <w:br/>
      </w:r>
      <w:r>
        <w:rPr>
          <w:b/>
          <w:color w:val="000000"/>
          <w:sz w:val="26"/>
        </w:rPr>
        <w:t>(Registration No: 310624243003)</w:t>
      </w:r>
    </w:p>
    <w:p>
      <w:pPr>
        <w:spacing w:before="160" w:after="280" w:line="288" w:lineRule="auto"/>
        <w:jc w:val="center"/>
      </w:pPr>
      <w:r>
        <w:rPr>
          <w:b/>
          <w:color w:val="000000"/>
          <w:sz w:val="26"/>
        </w:rPr>
        <w:t>in partial fulfillment for the award of the Degree</w:t>
        <w:br/>
        <w:t>of</w:t>
        <w:br/>
        <w:t>BACHELOR OF TECHNOLOGY</w:t>
        <w:br/>
        <w:t>in</w:t>
        <w:br/>
        <w:t>DEPARTMENT OF ARTIFICIAL INTELLIGENCE AND DATA SCIENCE</w:t>
      </w:r>
    </w:p>
    <w:p>
      <w:pPr>
        <w:spacing w:before="120" w:after="240"/>
        <w:jc w:val="center"/>
      </w:pPr>
      <w:r>
        <w:drawing>
          <wp:inline xmlns:a="http://schemas.openxmlformats.org/drawingml/2006/main" xmlns:pic="http://schemas.openxmlformats.org/drawingml/2006/picture">
            <wp:extent cx="1645920" cy="1741714"/>
            <wp:docPr id="1" name="Picture 1"/>
            <wp:cNvGraphicFramePr>
              <a:graphicFrameLocks noChangeAspect="1"/>
            </wp:cNvGraphicFramePr>
            <a:graphic>
              <a:graphicData uri="http://schemas.openxmlformats.org/drawingml/2006/picture">
                <pic:pic>
                  <pic:nvPicPr>
                    <pic:cNvPr id="0" name="college_logo.jpeg"/>
                    <pic:cNvPicPr/>
                  </pic:nvPicPr>
                  <pic:blipFill>
                    <a:blip r:embed="rId10"/>
                    <a:stretch>
                      <a:fillRect/>
                    </a:stretch>
                  </pic:blipFill>
                  <pic:spPr>
                    <a:xfrm>
                      <a:off x="0" y="0"/>
                      <a:ext cx="1645920" cy="1741714"/>
                    </a:xfrm>
                    <a:prstGeom prst="rect"/>
                  </pic:spPr>
                </pic:pic>
              </a:graphicData>
            </a:graphic>
          </wp:inline>
        </w:drawing>
      </w:r>
    </w:p>
    <w:p>
      <w:pPr>
        <w:spacing w:before="80" w:after="0" w:line="288" w:lineRule="auto"/>
        <w:jc w:val="center"/>
      </w:pPr>
      <w:r>
        <w:rPr>
          <w:b/>
          <w:color w:val="000000"/>
          <w:sz w:val="24"/>
        </w:rPr>
        <w:t>EASWARI ENGINEERING COLLEGE</w:t>
        <w:br/>
        <w:t>(AN AUTONOMOUS INSTITUTION)</w:t>
        <w:br/>
        <w:t>AFFILIATED TO ANNA UNIVERSITY, CHENNAI</w:t>
        <w:br/>
        <w:br/>
        <w:t>OCTOBER 2026</w:t>
      </w:r>
    </w:p>
    <w:p>
      <w:r>
        <w:br w:type="page"/>
      </w:r>
    </w:p>
    <w:p>
      <w:pPr>
        <w:spacing w:before="200" w:after="120"/>
        <w:jc w:val="center"/>
      </w:pPr>
      <w:r>
        <w:drawing>
          <wp:inline xmlns:a="http://schemas.openxmlformats.org/drawingml/2006/main" xmlns:pic="http://schemas.openxmlformats.org/drawingml/2006/picture">
            <wp:extent cx="1371600" cy="1445079"/>
            <wp:docPr id="2" name="Picture 2"/>
            <wp:cNvGraphicFramePr>
              <a:graphicFrameLocks noChangeAspect="1"/>
            </wp:cNvGraphicFramePr>
            <a:graphic>
              <a:graphicData uri="http://schemas.openxmlformats.org/drawingml/2006/picture">
                <pic:pic>
                  <pic:nvPicPr>
                    <pic:cNvPr id="0" name="college_logo_cert.jpeg"/>
                    <pic:cNvPicPr/>
                  </pic:nvPicPr>
                  <pic:blipFill>
                    <a:blip r:embed="rId11"/>
                    <a:stretch>
                      <a:fillRect/>
                    </a:stretch>
                  </pic:blipFill>
                  <pic:spPr>
                    <a:xfrm>
                      <a:off x="0" y="0"/>
                      <a:ext cx="1371600" cy="1445079"/>
                    </a:xfrm>
                    <a:prstGeom prst="rect"/>
                  </pic:spPr>
                </pic:pic>
              </a:graphicData>
            </a:graphic>
          </wp:inline>
        </w:drawing>
      </w:r>
    </w:p>
    <w:p>
      <w:pPr>
        <w:spacing w:after="240"/>
        <w:jc w:val="center"/>
      </w:pPr>
      <w:r>
        <w:rPr>
          <w:b/>
          <w:color w:val="000000"/>
          <w:sz w:val="32"/>
        </w:rPr>
        <w:t>EASWARI ENGINEERING COLLEGE</w:t>
        <w:br/>
        <w:t>(AN AUTONOMOUS INSTITUTION)</w:t>
      </w:r>
    </w:p>
    <w:p>
      <w:pPr>
        <w:spacing w:after="480"/>
        <w:jc w:val="center"/>
      </w:pPr>
      <w:r>
        <w:rPr>
          <w:b/>
          <w:color w:val="000000"/>
          <w:sz w:val="30"/>
        </w:rPr>
        <w:t>BONAFIDE CERTIFICATE</w:t>
      </w:r>
    </w:p>
    <w:p>
      <w:pPr>
        <w:spacing w:line="360" w:lineRule="auto" w:after="1200"/>
        <w:jc w:val="both"/>
      </w:pPr>
      <w:r>
        <w:rPr>
          <w:color w:val="000000"/>
          <w:sz w:val="26"/>
        </w:rPr>
        <w:t xml:space="preserve">Certified that this mini project report titled </w:t>
      </w:r>
      <w:r>
        <w:rPr>
          <w:b/>
          <w:color w:val="000000"/>
          <w:sz w:val="26"/>
        </w:rPr>
        <w:t>“ECOTRACK: ESG SUSTAINABILITY MANAGEMENT PLATFORM FOR ENTERPRISE CARBON ACCOUNTING AND GOVERNANCE”</w:t>
      </w:r>
      <w:r>
        <w:rPr>
          <w:color w:val="000000"/>
          <w:sz w:val="26"/>
        </w:rPr>
        <w:t xml:space="preserve"> is the Bonafide work of </w:t>
      </w:r>
      <w:r>
        <w:rPr>
          <w:b/>
          <w:color w:val="000000"/>
          <w:sz w:val="26"/>
        </w:rPr>
        <w:t>“ABDUL RAHMAN N (310624243003)”</w:t>
      </w:r>
      <w:r>
        <w:rPr>
          <w:color w:val="000000"/>
          <w:sz w:val="26"/>
        </w:rPr>
        <w:t>, who carried out the project work under my supervision.</w:t>
      </w:r>
    </w:p>
    <w:tbl>
      <w:tblPr>
        <w:tblW w:type="auto" w:w="0"/>
        <w:jc w:val="center"/>
        <w:tblLayout w:type="fixed"/>
        <w:tblLook w:firstColumn="1" w:firstRow="1" w:lastColumn="0" w:lastRow="0" w:noHBand="0" w:noVBand="1" w:val="04A0"/>
      </w:tblPr>
      <w:tblGrid>
        <w:gridCol w:w="4680"/>
        <w:gridCol w:w="4680"/>
      </w:tblGrid>
      <w:tr>
        <w:tc>
          <w:tcPr>
            <w:tcW w:type="dxa" w:w="4608"/>
          </w:tcPr>
          <w:p>
            <w:pPr>
              <w:spacing w:line="288" w:lineRule="auto"/>
              <w:jc w:val="left"/>
            </w:pPr>
            <w:r>
              <w:rPr>
                <w:b/>
                <w:color w:val="000000"/>
                <w:sz w:val="24"/>
              </w:rPr>
              <w:t>HEAD OF THE DEPARTMENT</w:t>
              <w:br/>
            </w:r>
            <w:r>
              <w:rPr>
                <w:color w:val="000000"/>
                <w:sz w:val="24"/>
              </w:rPr>
              <w:t>Dr. T. Kalai Selvi</w:t>
              <w:br/>
              <w:t>Easwari Engineering College,</w:t>
              <w:br/>
              <w:t>Ramapuram, Chennai – 600089.</w:t>
            </w:r>
          </w:p>
        </w:tc>
        <w:tc>
          <w:tcPr>
            <w:tcW w:type="dxa" w:w="4608"/>
          </w:tcPr>
          <w:p>
            <w:pPr>
              <w:spacing w:line="288" w:lineRule="auto"/>
              <w:jc w:val="right"/>
            </w:pPr>
            <w:r>
              <w:rPr>
                <w:b/>
                <w:color w:val="000000"/>
                <w:sz w:val="24"/>
              </w:rPr>
              <w:t>SUPERVISOR</w:t>
              <w:br/>
            </w:r>
            <w:r>
              <w:rPr>
                <w:color w:val="000000"/>
                <w:sz w:val="24"/>
              </w:rPr>
              <w:t>Ms. D. S. K. Harshitha</w:t>
              <w:br/>
              <w:t>Easwari Engineering College,</w:t>
              <w:br/>
              <w:t>Ramapuram, Chennai – 600089.</w:t>
            </w:r>
          </w:p>
        </w:tc>
      </w:tr>
    </w:tbl>
    <w:p>
      <w:r>
        <w:br w:type="page"/>
      </w:r>
    </w:p>
    <w:p>
      <w:pPr>
        <w:spacing w:before="200" w:after="120"/>
        <w:jc w:val="center"/>
      </w:pPr>
      <w:r>
        <w:drawing>
          <wp:inline xmlns:a="http://schemas.openxmlformats.org/drawingml/2006/main" xmlns:pic="http://schemas.openxmlformats.org/drawingml/2006/picture">
            <wp:extent cx="1371600" cy="1445079"/>
            <wp:docPr id="3" name="Picture 3"/>
            <wp:cNvGraphicFramePr>
              <a:graphicFrameLocks noChangeAspect="1"/>
            </wp:cNvGraphicFramePr>
            <a:graphic>
              <a:graphicData uri="http://schemas.openxmlformats.org/drawingml/2006/picture">
                <pic:pic>
                  <pic:nvPicPr>
                    <pic:cNvPr id="0" name="college_logo_cert.jpeg"/>
                    <pic:cNvPicPr/>
                  </pic:nvPicPr>
                  <pic:blipFill>
                    <a:blip r:embed="rId11"/>
                    <a:stretch>
                      <a:fillRect/>
                    </a:stretch>
                  </pic:blipFill>
                  <pic:spPr>
                    <a:xfrm>
                      <a:off x="0" y="0"/>
                      <a:ext cx="1371600" cy="1445079"/>
                    </a:xfrm>
                    <a:prstGeom prst="rect"/>
                  </pic:spPr>
                </pic:pic>
              </a:graphicData>
            </a:graphic>
          </wp:inline>
        </w:drawing>
      </w:r>
    </w:p>
    <w:p>
      <w:pPr>
        <w:spacing w:after="240"/>
        <w:jc w:val="center"/>
      </w:pPr>
      <w:r>
        <w:rPr>
          <w:b/>
          <w:color w:val="000000"/>
          <w:sz w:val="32"/>
        </w:rPr>
        <w:t>EASWARI ENGINEERING COLLEGE</w:t>
        <w:br/>
        <w:t>(AN AUTONOMOUS INSTITUTION)</w:t>
      </w:r>
    </w:p>
    <w:p>
      <w:pPr>
        <w:spacing w:after="480"/>
        <w:jc w:val="center"/>
      </w:pPr>
      <w:r>
        <w:rPr>
          <w:b/>
          <w:color w:val="000000"/>
          <w:sz w:val="30"/>
        </w:rPr>
        <w:t>Certificate Of Viva-Voce Examination</w:t>
      </w:r>
    </w:p>
    <w:p>
      <w:pPr>
        <w:spacing w:line="360" w:lineRule="auto" w:after="1200"/>
        <w:jc w:val="both"/>
      </w:pPr>
      <w:r>
        <w:rPr>
          <w:color w:val="000000"/>
          <w:sz w:val="26"/>
        </w:rPr>
        <w:t xml:space="preserve">This is to certify that the Viva Voce Examination of the Project Work entitled </w:t>
      </w:r>
      <w:r>
        <w:rPr>
          <w:b/>
          <w:color w:val="000000"/>
          <w:sz w:val="26"/>
        </w:rPr>
        <w:t>“ECOTRACK: ESG SUSTAINABILITY MANAGEMENT PLATFORM FOR ENTERPRISE CARBON ACCOUNTING AND GOVERNANCE”</w:t>
      </w:r>
      <w:r>
        <w:rPr>
          <w:color w:val="000000"/>
          <w:sz w:val="26"/>
        </w:rPr>
        <w:t xml:space="preserve"> submitted by </w:t>
      </w:r>
      <w:r>
        <w:rPr>
          <w:b/>
          <w:color w:val="000000"/>
          <w:sz w:val="26"/>
        </w:rPr>
        <w:t>Mr. Abdul Rahman N (Reg. No. 310624243003)</w:t>
      </w:r>
      <w:r>
        <w:rPr>
          <w:color w:val="000000"/>
          <w:sz w:val="26"/>
        </w:rPr>
        <w:t xml:space="preserve"> in partial fulfillment of the requirements for the award of the degree of Bachelor of Technology was conducted on </w:t>
      </w:r>
      <w:r>
        <w:rPr>
          <w:b/>
          <w:color w:val="000000"/>
          <w:sz w:val="26"/>
        </w:rPr>
        <w:t>23-10-2026</w:t>
      </w:r>
      <w:r>
        <w:rPr>
          <w:color w:val="000000"/>
          <w:sz w:val="26"/>
        </w:rPr>
        <w:t xml:space="preserve"> in the Department of Artificial Intelligence and Data Science, Easwari Engineering College, Ramapuram – Chennai.</w:t>
      </w:r>
    </w:p>
    <w:tbl>
      <w:tblPr>
        <w:tblW w:type="auto" w:w="0"/>
        <w:jc w:val="center"/>
        <w:tblLayout w:type="fixed"/>
        <w:tblLook w:firstColumn="1" w:firstRow="1" w:lastColumn="0" w:lastRow="0" w:noHBand="0" w:noVBand="1" w:val="04A0"/>
      </w:tblPr>
      <w:tblGrid>
        <w:gridCol w:w="4680"/>
        <w:gridCol w:w="4680"/>
      </w:tblGrid>
      <w:tr>
        <w:tc>
          <w:tcPr>
            <w:tcW w:type="dxa" w:w="4608"/>
          </w:tcPr>
          <w:p>
            <w:pPr>
              <w:spacing w:line="288" w:lineRule="auto"/>
              <w:jc w:val="left"/>
            </w:pPr>
            <w:r>
              <w:rPr>
                <w:b/>
                <w:color w:val="000000"/>
                <w:sz w:val="24"/>
              </w:rPr>
              <w:t>Internal Examiner</w:t>
              <w:br/>
              <w:br/>
              <w:t>Date: 23-10-2026</w:t>
            </w:r>
          </w:p>
        </w:tc>
        <w:tc>
          <w:tcPr>
            <w:tcW w:type="dxa" w:w="4608"/>
          </w:tcPr>
          <w:p>
            <w:pPr>
              <w:spacing w:line="288" w:lineRule="auto"/>
              <w:jc w:val="right"/>
            </w:pPr>
            <w:r>
              <w:rPr>
                <w:b/>
                <w:color w:val="000000"/>
                <w:sz w:val="24"/>
              </w:rPr>
              <w:t>External Examiner</w:t>
              <w:br/>
              <w:br/>
              <w:t>Date: 23-10-2026</w:t>
            </w:r>
          </w:p>
        </w:tc>
      </w:tr>
    </w:tbl>
    <w:p>
      <w:r>
        <w:br w:type="page"/>
      </w:r>
    </w:p>
    <w:p>
      <w:pPr>
        <w:spacing w:before="200" w:after="400"/>
        <w:jc w:val="center"/>
      </w:pPr>
      <w:r>
        <w:rPr>
          <w:b/>
          <w:color w:val="000000"/>
          <w:sz w:val="32"/>
        </w:rPr>
        <w:t>ABSTRACT</w:t>
      </w:r>
    </w:p>
    <w:p>
      <w:pPr>
        <w:spacing w:line="360" w:lineRule="auto" w:after="240"/>
        <w:jc w:val="both"/>
      </w:pPr>
      <w:r>
        <w:rPr>
          <w:color w:val="000000"/>
          <w:sz w:val="24"/>
        </w:rPr>
        <w:t>In the contemporary corporate ecosystem, Environmental, Social, and Governance (ESG) management has undergone a profound paradigm shift from voluntary corporate philanthropy into a strictly enforced, statutory compliance imperative. Global regulatory directives—such as the European Union Corporate Sustainability Due Diligence Directive (CSRD), United States Securities and Exchange Commission (SEC) Climate Disclosure Rules, and India's Business Responsibility and Sustainability Reporting (BRSR)—mandate exhaustive, mathematically verified, and auditable accounting of carbon emissions, circular resource consumption, and governance standards. Despite this urgency, enterprise sustainability workflows in modern corporations remain plagued by technological fragmentation. Disjointed spreadsheets, manual utility bill tallies, and isolated ERP modules introduce severe human calculation errors, data duplication, and reporting latencies that expose enterprises to severe legal penalties and greenwashing allegations.</w:t>
      </w:r>
    </w:p>
    <w:p>
      <w:pPr>
        <w:spacing w:line="360" w:lineRule="auto" w:after="240"/>
        <w:jc w:val="both"/>
      </w:pPr>
      <w:r>
        <w:rPr>
          <w:color w:val="000000"/>
          <w:sz w:val="24"/>
        </w:rPr>
        <w:t>To resolve these systemic bottlenecks, this project presents EcoTrack: an enterprise-grade, cloud-native, and full-stack ESG Sustainability Management Platform engineered to unify environmental operational telemetry into a synchronized single source of truth. Built upon a high-performance MERN architecture (MongoDB Atlas, Express.js, React 19, and Node.js with strict TypeScript typing) and styled with a responsive dark-mode glassmorphic interface, EcoTrack integrates eight operational sustainability domains: Executive KPI Analytics Dashboard, Multi-Facility Energy Tracking &amp; Unit Normalization, Greenhouse Gas (GHG) Scope 1/2/3 Protocol Carbon Accounting, Solid and Hazardous Waste Diversion Management, Composite ESG Scoring Engine, Sustainability Milestone Tracking, Compliance-Grade Vector PDF Report Generation, and Cryptographic Role-Based Access Control (RBAC).</w:t>
      </w:r>
    </w:p>
    <w:p>
      <w:pPr>
        <w:spacing w:line="360" w:lineRule="auto" w:after="240"/>
        <w:jc w:val="both"/>
      </w:pPr>
      <w:r>
        <w:rPr>
          <w:color w:val="000000"/>
          <w:sz w:val="24"/>
        </w:rPr>
        <w:t>At the technological core of the platform is an automated real-time calculation pipeline. When operational activity records are ingested, the system instantly computes metric tons of carbon equivalent (tCO2e), evaluates facility-level energy intensities, normalizes disparate consumption units (kWh, MWh, Therms, Gallons), and updates dynamic recycling diversion percentages in sub-100 millisecond response times. Furthermore, a multi-variable scoring algorithm computes a normalized 0–100 Composite ESG Health Index, offering executive leadership continuous visibility into regulatory posture. Hosted on a distributed 3-node MongoDB Atlas replica set cluster with automated public DNS failover resolution, EcoTrack delivers resilient, auditable, and automated sustainability governance that replaces manual spreadsheet retrospectives with proactive environmental intelligence.</w:t>
      </w:r>
    </w:p>
    <w:p>
      <w:r>
        <w:br w:type="page"/>
      </w:r>
    </w:p>
    <w:p>
      <w:pPr>
        <w:spacing w:before="200" w:after="400"/>
        <w:jc w:val="center"/>
      </w:pPr>
      <w:r>
        <w:rPr>
          <w:b/>
          <w:color w:val="000000"/>
          <w:sz w:val="32"/>
        </w:rPr>
        <w:t>ACKNOWLEDGEMENT</w:t>
      </w:r>
    </w:p>
    <w:p>
      <w:pPr>
        <w:spacing w:line="360" w:lineRule="auto" w:after="240"/>
        <w:jc w:val="both"/>
      </w:pPr>
      <w:r>
        <w:rPr>
          <w:color w:val="000000"/>
          <w:sz w:val="26"/>
        </w:rPr>
        <w:t xml:space="preserve">We express our sincere gratitude to the Principal </w:t>
      </w:r>
      <w:r>
        <w:rPr>
          <w:b/>
          <w:color w:val="000000"/>
          <w:sz w:val="26"/>
        </w:rPr>
        <w:t>Dr. P. Deiva Sundari</w:t>
      </w:r>
      <w:r>
        <w:rPr>
          <w:color w:val="000000"/>
          <w:sz w:val="26"/>
        </w:rPr>
        <w:t xml:space="preserve"> and the Management of our college for providing us with the opportunity and state-of-the-art infrastructural facilities to carry out this project work successfully.</w:t>
      </w:r>
    </w:p>
    <w:p>
      <w:pPr>
        <w:spacing w:line="360" w:lineRule="auto" w:after="240"/>
        <w:jc w:val="both"/>
      </w:pPr>
      <w:r>
        <w:rPr>
          <w:color w:val="000000"/>
          <w:sz w:val="26"/>
        </w:rPr>
        <w:t xml:space="preserve">We convey our heartfelt thanks to the Head of the Department </w:t>
      </w:r>
      <w:r>
        <w:rPr>
          <w:b/>
          <w:color w:val="000000"/>
          <w:sz w:val="26"/>
        </w:rPr>
        <w:t>Dr. T. Kalai Selvi</w:t>
      </w:r>
      <w:r>
        <w:rPr>
          <w:color w:val="000000"/>
          <w:sz w:val="26"/>
        </w:rPr>
        <w:t>, Department of Artificial Intelligence and Data Science, for her continuous encouragement, academic support, and constructive feedback throughout the course of this work.</w:t>
      </w:r>
    </w:p>
    <w:p>
      <w:pPr>
        <w:spacing w:line="360" w:lineRule="auto" w:after="240"/>
        <w:jc w:val="both"/>
      </w:pPr>
      <w:r>
        <w:rPr>
          <w:color w:val="000000"/>
          <w:sz w:val="26"/>
        </w:rPr>
        <w:t xml:space="preserve">We are extremely thankful to our Project Guide </w:t>
      </w:r>
      <w:r>
        <w:rPr>
          <w:b/>
          <w:color w:val="000000"/>
          <w:sz w:val="26"/>
        </w:rPr>
        <w:t>Ms. D. S. K. Harshitha</w:t>
      </w:r>
      <w:r>
        <w:rPr>
          <w:color w:val="000000"/>
          <w:sz w:val="26"/>
        </w:rPr>
        <w:t>, Department of Artificial Intelligence and Data Science, for her invaluable guidance, rigorous technical reviews, and constant motivation that guided the completion of this research and software engineering effort.</w:t>
      </w:r>
    </w:p>
    <w:p>
      <w:pPr>
        <w:spacing w:line="360" w:lineRule="auto" w:after="240"/>
        <w:jc w:val="both"/>
      </w:pPr>
      <w:r>
        <w:rPr>
          <w:color w:val="000000"/>
          <w:sz w:val="26"/>
        </w:rPr>
        <w:t>We would also like to extend our sincere appreciation to all the faculty members and technical staff of the Department of Artificial Intelligence and Data Science for their direct and indirect support throughout the project lifecycle.</w:t>
      </w:r>
    </w:p>
    <w:p>
      <w:pPr>
        <w:spacing w:line="360" w:lineRule="auto" w:after="240"/>
        <w:jc w:val="both"/>
      </w:pPr>
      <w:r>
        <w:rPr>
          <w:color w:val="000000"/>
          <w:sz w:val="26"/>
        </w:rPr>
        <w:t>Finally, we express our deepest gratitude to our parents and friends for their enduring patience, encouragement, and understanding during the development of this project.</w:t>
      </w:r>
    </w:p>
    <w:p>
      <w:r>
        <w:br w:type="page"/>
      </w:r>
    </w:p>
    <w:p>
      <w:pPr>
        <w:spacing w:before="200" w:after="360"/>
        <w:jc w:val="center"/>
      </w:pPr>
      <w:r>
        <w:rPr>
          <w:b/>
          <w:color w:val="000000"/>
          <w:sz w:val="28"/>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872"/>
            <w:shd w:val="clear" w:color="auto" w:fill="E2E8F0"/>
          </w:tcPr>
          <w:p>
            <w:r>
              <w:rPr>
                <w:b/>
                <w:color w:val="000000"/>
                <w:sz w:val="22"/>
              </w:rPr>
              <w:t>CHAPTER NO.</w:t>
            </w:r>
          </w:p>
        </w:tc>
        <w:tc>
          <w:tcPr>
            <w:tcW w:type="dxa" w:w="6192"/>
            <w:shd w:val="clear" w:color="auto" w:fill="E2E8F0"/>
          </w:tcPr>
          <w:p>
            <w:r>
              <w:rPr>
                <w:b/>
                <w:color w:val="000000"/>
                <w:sz w:val="22"/>
              </w:rPr>
              <w:t>TITLE</w:t>
            </w:r>
          </w:p>
        </w:tc>
        <w:tc>
          <w:tcPr>
            <w:tcW w:type="dxa" w:w="1440"/>
            <w:shd w:val="clear" w:color="auto" w:fill="E2E8F0"/>
          </w:tcPr>
          <w:p>
            <w:r>
              <w:rPr>
                <w:b/>
                <w:color w:val="000000"/>
                <w:sz w:val="22"/>
              </w:rPr>
              <w:t>PAGE No.</w:t>
            </w:r>
          </w:p>
        </w:tc>
      </w:tr>
      <w:tr>
        <w:tc>
          <w:tcPr>
            <w:tcW w:type="dxa" w:w="1872"/>
          </w:tcPr>
          <w:p>
            <w:r>
              <w:rPr>
                <w:b/>
                <w:color w:val="000000"/>
                <w:sz w:val="22"/>
              </w:rPr>
            </w:r>
          </w:p>
        </w:tc>
        <w:tc>
          <w:tcPr>
            <w:tcW w:type="dxa" w:w="6192"/>
          </w:tcPr>
          <w:p>
            <w:r>
              <w:rPr>
                <w:b/>
                <w:color w:val="000000"/>
                <w:sz w:val="22"/>
              </w:rPr>
              <w:t>ABSTRACT</w:t>
            </w:r>
          </w:p>
        </w:tc>
        <w:tc>
          <w:tcPr>
            <w:tcW w:type="dxa" w:w="1440"/>
          </w:tcPr>
          <w:p>
            <w:r>
              <w:rPr>
                <w:b/>
                <w:color w:val="000000"/>
                <w:sz w:val="22"/>
              </w:rPr>
              <w:t>iv</w:t>
            </w:r>
          </w:p>
        </w:tc>
      </w:tr>
      <w:tr>
        <w:tc>
          <w:tcPr>
            <w:tcW w:type="dxa" w:w="1872"/>
          </w:tcPr>
          <w:p>
            <w:r>
              <w:rPr>
                <w:b/>
                <w:color w:val="000000"/>
                <w:sz w:val="22"/>
              </w:rPr>
            </w:r>
          </w:p>
        </w:tc>
        <w:tc>
          <w:tcPr>
            <w:tcW w:type="dxa" w:w="6192"/>
          </w:tcPr>
          <w:p>
            <w:r>
              <w:rPr>
                <w:b/>
                <w:color w:val="000000"/>
                <w:sz w:val="22"/>
              </w:rPr>
              <w:t>ACKNOWLEDGEMENT</w:t>
            </w:r>
          </w:p>
        </w:tc>
        <w:tc>
          <w:tcPr>
            <w:tcW w:type="dxa" w:w="1440"/>
          </w:tcPr>
          <w:p>
            <w:r>
              <w:rPr>
                <w:b/>
                <w:color w:val="000000"/>
                <w:sz w:val="22"/>
              </w:rPr>
              <w:t>v</w:t>
            </w:r>
          </w:p>
        </w:tc>
      </w:tr>
      <w:tr>
        <w:tc>
          <w:tcPr>
            <w:tcW w:type="dxa" w:w="1872"/>
          </w:tcPr>
          <w:p>
            <w:r>
              <w:rPr>
                <w:b/>
                <w:color w:val="000000"/>
                <w:sz w:val="22"/>
              </w:rPr>
            </w:r>
          </w:p>
        </w:tc>
        <w:tc>
          <w:tcPr>
            <w:tcW w:type="dxa" w:w="6192"/>
          </w:tcPr>
          <w:p>
            <w:r>
              <w:rPr>
                <w:b/>
                <w:color w:val="000000"/>
                <w:sz w:val="22"/>
              </w:rPr>
              <w:t>LIST OF TABLES</w:t>
            </w:r>
          </w:p>
        </w:tc>
        <w:tc>
          <w:tcPr>
            <w:tcW w:type="dxa" w:w="1440"/>
          </w:tcPr>
          <w:p>
            <w:r>
              <w:rPr>
                <w:b/>
                <w:color w:val="000000"/>
                <w:sz w:val="22"/>
              </w:rPr>
              <w:t>ix</w:t>
            </w:r>
          </w:p>
        </w:tc>
      </w:tr>
      <w:tr>
        <w:tc>
          <w:tcPr>
            <w:tcW w:type="dxa" w:w="1872"/>
          </w:tcPr>
          <w:p>
            <w:r>
              <w:rPr>
                <w:b/>
                <w:color w:val="000000"/>
                <w:sz w:val="22"/>
              </w:rPr>
            </w:r>
          </w:p>
        </w:tc>
        <w:tc>
          <w:tcPr>
            <w:tcW w:type="dxa" w:w="6192"/>
          </w:tcPr>
          <w:p>
            <w:r>
              <w:rPr>
                <w:b/>
                <w:color w:val="000000"/>
                <w:sz w:val="22"/>
              </w:rPr>
              <w:t>LIST OF FIGURES</w:t>
            </w:r>
          </w:p>
        </w:tc>
        <w:tc>
          <w:tcPr>
            <w:tcW w:type="dxa" w:w="1440"/>
          </w:tcPr>
          <w:p>
            <w:r>
              <w:rPr>
                <w:b/>
                <w:color w:val="000000"/>
                <w:sz w:val="22"/>
              </w:rPr>
              <w:t>x</w:t>
            </w:r>
          </w:p>
        </w:tc>
      </w:tr>
      <w:tr>
        <w:tc>
          <w:tcPr>
            <w:tcW w:type="dxa" w:w="1872"/>
          </w:tcPr>
          <w:p>
            <w:r>
              <w:rPr>
                <w:b/>
                <w:color w:val="000000"/>
                <w:sz w:val="22"/>
              </w:rPr>
              <w:t>1.</w:t>
            </w:r>
          </w:p>
        </w:tc>
        <w:tc>
          <w:tcPr>
            <w:tcW w:type="dxa" w:w="6192"/>
          </w:tcPr>
          <w:p>
            <w:r>
              <w:rPr>
                <w:b/>
                <w:color w:val="000000"/>
                <w:sz w:val="22"/>
              </w:rPr>
              <w:t>INTRODUCTION</w:t>
            </w:r>
          </w:p>
        </w:tc>
        <w:tc>
          <w:tcPr>
            <w:tcW w:type="dxa" w:w="1440"/>
          </w:tcPr>
          <w:p>
            <w:r>
              <w:rPr>
                <w:b/>
                <w:color w:val="000000"/>
                <w:sz w:val="22"/>
              </w:rPr>
              <w:t>1</w:t>
            </w:r>
          </w:p>
        </w:tc>
      </w:tr>
      <w:tr>
        <w:tc>
          <w:tcPr>
            <w:tcW w:type="dxa" w:w="1872"/>
          </w:tcPr>
          <w:p>
            <w:r>
              <w:rPr>
                <w:color w:val="000000"/>
                <w:sz w:val="22"/>
              </w:rPr>
            </w:r>
          </w:p>
        </w:tc>
        <w:tc>
          <w:tcPr>
            <w:tcW w:type="dxa" w:w="6192"/>
          </w:tcPr>
          <w:p>
            <w:r>
              <w:rPr>
                <w:color w:val="000000"/>
                <w:sz w:val="22"/>
              </w:rPr>
              <w:t>1.1 OVERVIEW</w:t>
            </w:r>
          </w:p>
        </w:tc>
        <w:tc>
          <w:tcPr>
            <w:tcW w:type="dxa" w:w="1440"/>
          </w:tcPr>
          <w:p>
            <w:r>
              <w:rPr>
                <w:color w:val="000000"/>
                <w:sz w:val="22"/>
              </w:rPr>
              <w:t>1</w:t>
            </w:r>
          </w:p>
        </w:tc>
      </w:tr>
      <w:tr>
        <w:tc>
          <w:tcPr>
            <w:tcW w:type="dxa" w:w="1872"/>
          </w:tcPr>
          <w:p>
            <w:r>
              <w:rPr>
                <w:color w:val="000000"/>
                <w:sz w:val="22"/>
              </w:rPr>
            </w:r>
          </w:p>
        </w:tc>
        <w:tc>
          <w:tcPr>
            <w:tcW w:type="dxa" w:w="6192"/>
          </w:tcPr>
          <w:p>
            <w:r>
              <w:rPr>
                <w:color w:val="000000"/>
                <w:sz w:val="22"/>
              </w:rPr>
              <w:t>1.2 PROBLEM DEFINITION</w:t>
            </w:r>
          </w:p>
        </w:tc>
        <w:tc>
          <w:tcPr>
            <w:tcW w:type="dxa" w:w="1440"/>
          </w:tcPr>
          <w:p>
            <w:r>
              <w:rPr>
                <w:color w:val="000000"/>
                <w:sz w:val="22"/>
              </w:rPr>
              <w:t>2</w:t>
            </w:r>
          </w:p>
        </w:tc>
      </w:tr>
      <w:tr>
        <w:tc>
          <w:tcPr>
            <w:tcW w:type="dxa" w:w="1872"/>
          </w:tcPr>
          <w:p>
            <w:r>
              <w:rPr>
                <w:color w:val="000000"/>
                <w:sz w:val="22"/>
              </w:rPr>
            </w:r>
          </w:p>
        </w:tc>
        <w:tc>
          <w:tcPr>
            <w:tcW w:type="dxa" w:w="6192"/>
          </w:tcPr>
          <w:p>
            <w:r>
              <w:rPr>
                <w:color w:val="000000"/>
                <w:sz w:val="22"/>
              </w:rPr>
              <w:t>1.3 OBJECTIVE</w:t>
            </w:r>
          </w:p>
        </w:tc>
        <w:tc>
          <w:tcPr>
            <w:tcW w:type="dxa" w:w="1440"/>
          </w:tcPr>
          <w:p>
            <w:r>
              <w:rPr>
                <w:color w:val="000000"/>
                <w:sz w:val="22"/>
              </w:rPr>
              <w:t>3</w:t>
            </w:r>
          </w:p>
        </w:tc>
      </w:tr>
      <w:tr>
        <w:tc>
          <w:tcPr>
            <w:tcW w:type="dxa" w:w="1872"/>
          </w:tcPr>
          <w:p>
            <w:r>
              <w:rPr>
                <w:color w:val="000000"/>
                <w:sz w:val="22"/>
              </w:rPr>
            </w:r>
          </w:p>
        </w:tc>
        <w:tc>
          <w:tcPr>
            <w:tcW w:type="dxa" w:w="6192"/>
          </w:tcPr>
          <w:p>
            <w:r>
              <w:rPr>
                <w:color w:val="000000"/>
                <w:sz w:val="22"/>
              </w:rPr>
              <w:t>1.4 SCOPE OF THE PROJECT</w:t>
            </w:r>
          </w:p>
        </w:tc>
        <w:tc>
          <w:tcPr>
            <w:tcW w:type="dxa" w:w="1440"/>
          </w:tcPr>
          <w:p>
            <w:r>
              <w:rPr>
                <w:color w:val="000000"/>
                <w:sz w:val="22"/>
              </w:rPr>
              <w:t>4</w:t>
            </w:r>
          </w:p>
        </w:tc>
      </w:tr>
      <w:tr>
        <w:tc>
          <w:tcPr>
            <w:tcW w:type="dxa" w:w="1872"/>
          </w:tcPr>
          <w:p>
            <w:r>
              <w:rPr>
                <w:color w:val="000000"/>
                <w:sz w:val="22"/>
              </w:rPr>
            </w:r>
          </w:p>
        </w:tc>
        <w:tc>
          <w:tcPr>
            <w:tcW w:type="dxa" w:w="6192"/>
          </w:tcPr>
          <w:p>
            <w:r>
              <w:rPr>
                <w:color w:val="000000"/>
                <w:sz w:val="22"/>
              </w:rPr>
              <w:t>1.5 MOTIVATION</w:t>
            </w:r>
          </w:p>
        </w:tc>
        <w:tc>
          <w:tcPr>
            <w:tcW w:type="dxa" w:w="1440"/>
          </w:tcPr>
          <w:p>
            <w:r>
              <w:rPr>
                <w:color w:val="000000"/>
                <w:sz w:val="22"/>
              </w:rPr>
              <w:t>5</w:t>
            </w:r>
          </w:p>
        </w:tc>
      </w:tr>
      <w:tr>
        <w:tc>
          <w:tcPr>
            <w:tcW w:type="dxa" w:w="1872"/>
          </w:tcPr>
          <w:p>
            <w:r>
              <w:rPr>
                <w:b/>
                <w:color w:val="000000"/>
                <w:sz w:val="22"/>
              </w:rPr>
              <w:t>2.</w:t>
            </w:r>
          </w:p>
        </w:tc>
        <w:tc>
          <w:tcPr>
            <w:tcW w:type="dxa" w:w="6192"/>
          </w:tcPr>
          <w:p>
            <w:r>
              <w:rPr>
                <w:b/>
                <w:color w:val="000000"/>
                <w:sz w:val="22"/>
              </w:rPr>
              <w:t>LITERATURE SURVEY</w:t>
            </w:r>
          </w:p>
        </w:tc>
        <w:tc>
          <w:tcPr>
            <w:tcW w:type="dxa" w:w="1440"/>
          </w:tcPr>
          <w:p>
            <w:r>
              <w:rPr>
                <w:b/>
                <w:color w:val="000000"/>
                <w:sz w:val="22"/>
              </w:rPr>
              <w:t>6</w:t>
            </w:r>
          </w:p>
        </w:tc>
      </w:tr>
      <w:tr>
        <w:tc>
          <w:tcPr>
            <w:tcW w:type="dxa" w:w="1872"/>
          </w:tcPr>
          <w:p>
            <w:r>
              <w:rPr>
                <w:color w:val="000000"/>
                <w:sz w:val="22"/>
              </w:rPr>
            </w:r>
          </w:p>
        </w:tc>
        <w:tc>
          <w:tcPr>
            <w:tcW w:type="dxa" w:w="6192"/>
          </w:tcPr>
          <w:p>
            <w:r>
              <w:rPr>
                <w:color w:val="000000"/>
                <w:sz w:val="22"/>
              </w:rPr>
              <w:t>2.1 LITERATURE REVIEW</w:t>
            </w:r>
          </w:p>
        </w:tc>
        <w:tc>
          <w:tcPr>
            <w:tcW w:type="dxa" w:w="1440"/>
          </w:tcPr>
          <w:p>
            <w:r>
              <w:rPr>
                <w:color w:val="000000"/>
                <w:sz w:val="22"/>
              </w:rPr>
              <w:t>6</w:t>
            </w:r>
          </w:p>
        </w:tc>
      </w:tr>
      <w:tr>
        <w:tc>
          <w:tcPr>
            <w:tcW w:type="dxa" w:w="1872"/>
          </w:tcPr>
          <w:p>
            <w:r>
              <w:rPr>
                <w:color w:val="000000"/>
                <w:sz w:val="22"/>
              </w:rPr>
            </w:r>
          </w:p>
        </w:tc>
        <w:tc>
          <w:tcPr>
            <w:tcW w:type="dxa" w:w="6192"/>
          </w:tcPr>
          <w:p>
            <w:r>
              <w:rPr>
                <w:color w:val="000000"/>
                <w:sz w:val="22"/>
              </w:rPr>
              <w:t>2.2 EXISTING SYSTEM</w:t>
            </w:r>
          </w:p>
        </w:tc>
        <w:tc>
          <w:tcPr>
            <w:tcW w:type="dxa" w:w="1440"/>
          </w:tcPr>
          <w:p>
            <w:r>
              <w:rPr>
                <w:color w:val="000000"/>
                <w:sz w:val="22"/>
              </w:rPr>
              <w:t>7</w:t>
            </w:r>
          </w:p>
        </w:tc>
      </w:tr>
      <w:tr>
        <w:tc>
          <w:tcPr>
            <w:tcW w:type="dxa" w:w="1872"/>
          </w:tcPr>
          <w:p>
            <w:r>
              <w:rPr>
                <w:color w:val="000000"/>
                <w:sz w:val="22"/>
              </w:rPr>
            </w:r>
          </w:p>
        </w:tc>
        <w:tc>
          <w:tcPr>
            <w:tcW w:type="dxa" w:w="6192"/>
          </w:tcPr>
          <w:p>
            <w:r>
              <w:rPr>
                <w:color w:val="000000"/>
                <w:sz w:val="22"/>
              </w:rPr>
              <w:t>2.3 PROPOSED SYSTEM</w:t>
            </w:r>
          </w:p>
        </w:tc>
        <w:tc>
          <w:tcPr>
            <w:tcW w:type="dxa" w:w="1440"/>
          </w:tcPr>
          <w:p>
            <w:r>
              <w:rPr>
                <w:color w:val="000000"/>
                <w:sz w:val="22"/>
              </w:rPr>
              <w:t>8</w:t>
            </w:r>
          </w:p>
        </w:tc>
      </w:tr>
      <w:tr>
        <w:tc>
          <w:tcPr>
            <w:tcW w:type="dxa" w:w="1872"/>
          </w:tcPr>
          <w:p>
            <w:r>
              <w:rPr>
                <w:b/>
                <w:color w:val="000000"/>
                <w:sz w:val="22"/>
              </w:rPr>
              <w:t>3.</w:t>
            </w:r>
          </w:p>
        </w:tc>
        <w:tc>
          <w:tcPr>
            <w:tcW w:type="dxa" w:w="6192"/>
          </w:tcPr>
          <w:p>
            <w:r>
              <w:rPr>
                <w:b/>
                <w:color w:val="000000"/>
                <w:sz w:val="22"/>
              </w:rPr>
              <w:t>SYSTEM ANALYSIS</w:t>
            </w:r>
          </w:p>
        </w:tc>
        <w:tc>
          <w:tcPr>
            <w:tcW w:type="dxa" w:w="1440"/>
          </w:tcPr>
          <w:p>
            <w:r>
              <w:rPr>
                <w:b/>
                <w:color w:val="000000"/>
                <w:sz w:val="22"/>
              </w:rPr>
              <w:t>9</w:t>
            </w:r>
          </w:p>
        </w:tc>
      </w:tr>
      <w:tr>
        <w:tc>
          <w:tcPr>
            <w:tcW w:type="dxa" w:w="1872"/>
          </w:tcPr>
          <w:p>
            <w:r>
              <w:rPr>
                <w:color w:val="000000"/>
                <w:sz w:val="22"/>
              </w:rPr>
            </w:r>
          </w:p>
        </w:tc>
        <w:tc>
          <w:tcPr>
            <w:tcW w:type="dxa" w:w="6192"/>
          </w:tcPr>
          <w:p>
            <w:r>
              <w:rPr>
                <w:color w:val="000000"/>
                <w:sz w:val="22"/>
              </w:rPr>
              <w:t>3.1 SYSTEM REQUIREMENTS</w:t>
            </w:r>
          </w:p>
        </w:tc>
        <w:tc>
          <w:tcPr>
            <w:tcW w:type="dxa" w:w="1440"/>
          </w:tcPr>
          <w:p>
            <w:r>
              <w:rPr>
                <w:color w:val="000000"/>
                <w:sz w:val="22"/>
              </w:rPr>
              <w:t>9</w:t>
            </w:r>
          </w:p>
        </w:tc>
      </w:tr>
      <w:tr>
        <w:tc>
          <w:tcPr>
            <w:tcW w:type="dxa" w:w="1872"/>
          </w:tcPr>
          <w:p>
            <w:r>
              <w:rPr>
                <w:color w:val="000000"/>
                <w:sz w:val="22"/>
              </w:rPr>
            </w:r>
          </w:p>
        </w:tc>
        <w:tc>
          <w:tcPr>
            <w:tcW w:type="dxa" w:w="6192"/>
          </w:tcPr>
          <w:p>
            <w:r>
              <w:rPr>
                <w:color w:val="000000"/>
                <w:sz w:val="22"/>
              </w:rPr>
              <w:t xml:space="preserve">    3.1.1 Functional Requirements</w:t>
            </w:r>
          </w:p>
        </w:tc>
        <w:tc>
          <w:tcPr>
            <w:tcW w:type="dxa" w:w="1440"/>
          </w:tcPr>
          <w:p>
            <w:r>
              <w:rPr>
                <w:color w:val="000000"/>
                <w:sz w:val="22"/>
              </w:rPr>
              <w:t>9</w:t>
            </w:r>
          </w:p>
        </w:tc>
      </w:tr>
      <w:tr>
        <w:tc>
          <w:tcPr>
            <w:tcW w:type="dxa" w:w="1872"/>
          </w:tcPr>
          <w:p>
            <w:r>
              <w:rPr>
                <w:color w:val="000000"/>
                <w:sz w:val="22"/>
              </w:rPr>
            </w:r>
          </w:p>
        </w:tc>
        <w:tc>
          <w:tcPr>
            <w:tcW w:type="dxa" w:w="6192"/>
          </w:tcPr>
          <w:p>
            <w:r>
              <w:rPr>
                <w:color w:val="000000"/>
                <w:sz w:val="22"/>
              </w:rPr>
              <w:t xml:space="preserve">    3.1.2 Non-Functional Requirements</w:t>
            </w:r>
          </w:p>
        </w:tc>
        <w:tc>
          <w:tcPr>
            <w:tcW w:type="dxa" w:w="1440"/>
          </w:tcPr>
          <w:p>
            <w:r>
              <w:rPr>
                <w:color w:val="000000"/>
                <w:sz w:val="22"/>
              </w:rPr>
              <w:t>10</w:t>
            </w:r>
          </w:p>
        </w:tc>
      </w:tr>
      <w:tr>
        <w:tc>
          <w:tcPr>
            <w:tcW w:type="dxa" w:w="1872"/>
          </w:tcPr>
          <w:p>
            <w:r>
              <w:rPr>
                <w:color w:val="000000"/>
                <w:sz w:val="22"/>
              </w:rPr>
            </w:r>
          </w:p>
        </w:tc>
        <w:tc>
          <w:tcPr>
            <w:tcW w:type="dxa" w:w="6192"/>
          </w:tcPr>
          <w:p>
            <w:r>
              <w:rPr>
                <w:color w:val="000000"/>
                <w:sz w:val="22"/>
              </w:rPr>
              <w:t>3.2 SOFTWARE AND HARDWARE REQUIREMENTS</w:t>
            </w:r>
          </w:p>
        </w:tc>
        <w:tc>
          <w:tcPr>
            <w:tcW w:type="dxa" w:w="1440"/>
          </w:tcPr>
          <w:p>
            <w:r>
              <w:rPr>
                <w:color w:val="000000"/>
                <w:sz w:val="22"/>
              </w:rPr>
              <w:t>11</w:t>
            </w:r>
          </w:p>
        </w:tc>
      </w:tr>
      <w:tr>
        <w:tc>
          <w:tcPr>
            <w:tcW w:type="dxa" w:w="1872"/>
          </w:tcPr>
          <w:p>
            <w:r>
              <w:rPr>
                <w:b/>
                <w:color w:val="000000"/>
                <w:sz w:val="22"/>
              </w:rPr>
              <w:t>4.</w:t>
            </w:r>
          </w:p>
        </w:tc>
        <w:tc>
          <w:tcPr>
            <w:tcW w:type="dxa" w:w="6192"/>
          </w:tcPr>
          <w:p>
            <w:r>
              <w:rPr>
                <w:b/>
                <w:color w:val="000000"/>
                <w:sz w:val="22"/>
              </w:rPr>
              <w:t>METHODOLOGY</w:t>
            </w:r>
          </w:p>
        </w:tc>
        <w:tc>
          <w:tcPr>
            <w:tcW w:type="dxa" w:w="1440"/>
          </w:tcPr>
          <w:p>
            <w:r>
              <w:rPr>
                <w:b/>
                <w:color w:val="000000"/>
                <w:sz w:val="22"/>
              </w:rPr>
              <w:t>13</w:t>
            </w:r>
          </w:p>
        </w:tc>
      </w:tr>
      <w:tr>
        <w:tc>
          <w:tcPr>
            <w:tcW w:type="dxa" w:w="1872"/>
          </w:tcPr>
          <w:p>
            <w:r>
              <w:rPr>
                <w:color w:val="000000"/>
                <w:sz w:val="22"/>
              </w:rPr>
            </w:r>
          </w:p>
        </w:tc>
        <w:tc>
          <w:tcPr>
            <w:tcW w:type="dxa" w:w="6192"/>
          </w:tcPr>
          <w:p>
            <w:r>
              <w:rPr>
                <w:color w:val="000000"/>
                <w:sz w:val="22"/>
              </w:rPr>
              <w:t>4.1 SYSTEM ARCHITECTURE</w:t>
            </w:r>
          </w:p>
        </w:tc>
        <w:tc>
          <w:tcPr>
            <w:tcW w:type="dxa" w:w="1440"/>
          </w:tcPr>
          <w:p>
            <w:r>
              <w:rPr>
                <w:color w:val="000000"/>
                <w:sz w:val="22"/>
              </w:rPr>
              <w:t>13</w:t>
            </w:r>
          </w:p>
        </w:tc>
      </w:tr>
      <w:tr>
        <w:tc>
          <w:tcPr>
            <w:tcW w:type="dxa" w:w="1872"/>
          </w:tcPr>
          <w:p>
            <w:r>
              <w:rPr>
                <w:color w:val="000000"/>
                <w:sz w:val="22"/>
              </w:rPr>
            </w:r>
          </w:p>
        </w:tc>
        <w:tc>
          <w:tcPr>
            <w:tcW w:type="dxa" w:w="6192"/>
          </w:tcPr>
          <w:p>
            <w:r>
              <w:rPr>
                <w:color w:val="000000"/>
                <w:sz w:val="22"/>
              </w:rPr>
              <w:t>4.2 MODULE DESCRIPTION</w:t>
            </w:r>
          </w:p>
        </w:tc>
        <w:tc>
          <w:tcPr>
            <w:tcW w:type="dxa" w:w="1440"/>
          </w:tcPr>
          <w:p>
            <w:r>
              <w:rPr>
                <w:color w:val="000000"/>
                <w:sz w:val="22"/>
              </w:rPr>
              <w:t>14</w:t>
            </w:r>
          </w:p>
        </w:tc>
      </w:tr>
      <w:tr>
        <w:tc>
          <w:tcPr>
            <w:tcW w:type="dxa" w:w="1872"/>
          </w:tcPr>
          <w:p>
            <w:r>
              <w:rPr>
                <w:color w:val="000000"/>
                <w:sz w:val="22"/>
              </w:rPr>
            </w:r>
          </w:p>
        </w:tc>
        <w:tc>
          <w:tcPr>
            <w:tcW w:type="dxa" w:w="6192"/>
          </w:tcPr>
          <w:p>
            <w:r>
              <w:rPr>
                <w:color w:val="000000"/>
                <w:sz w:val="22"/>
              </w:rPr>
              <w:t>4.3 CLASS DIAGRAM</w:t>
            </w:r>
          </w:p>
        </w:tc>
        <w:tc>
          <w:tcPr>
            <w:tcW w:type="dxa" w:w="1440"/>
          </w:tcPr>
          <w:p>
            <w:r>
              <w:rPr>
                <w:color w:val="000000"/>
                <w:sz w:val="22"/>
              </w:rPr>
              <w:t>16</w:t>
            </w:r>
          </w:p>
        </w:tc>
      </w:tr>
      <w:tr>
        <w:tc>
          <w:tcPr>
            <w:tcW w:type="dxa" w:w="1872"/>
          </w:tcPr>
          <w:p>
            <w:r>
              <w:rPr>
                <w:color w:val="000000"/>
                <w:sz w:val="22"/>
              </w:rPr>
            </w:r>
          </w:p>
        </w:tc>
        <w:tc>
          <w:tcPr>
            <w:tcW w:type="dxa" w:w="6192"/>
          </w:tcPr>
          <w:p>
            <w:r>
              <w:rPr>
                <w:color w:val="000000"/>
                <w:sz w:val="22"/>
              </w:rPr>
              <w:t>4.4 SEQUENCE DIAGRAM</w:t>
            </w:r>
          </w:p>
        </w:tc>
        <w:tc>
          <w:tcPr>
            <w:tcW w:type="dxa" w:w="1440"/>
          </w:tcPr>
          <w:p>
            <w:r>
              <w:rPr>
                <w:color w:val="000000"/>
                <w:sz w:val="22"/>
              </w:rPr>
              <w:t>17</w:t>
            </w:r>
          </w:p>
        </w:tc>
      </w:tr>
      <w:tr>
        <w:tc>
          <w:tcPr>
            <w:tcW w:type="dxa" w:w="1872"/>
          </w:tcPr>
          <w:p>
            <w:r>
              <w:rPr>
                <w:b/>
                <w:color w:val="000000"/>
                <w:sz w:val="22"/>
              </w:rPr>
              <w:t>5.</w:t>
            </w:r>
          </w:p>
        </w:tc>
        <w:tc>
          <w:tcPr>
            <w:tcW w:type="dxa" w:w="6192"/>
          </w:tcPr>
          <w:p>
            <w:r>
              <w:rPr>
                <w:b/>
                <w:color w:val="000000"/>
                <w:sz w:val="22"/>
              </w:rPr>
              <w:t>RESULTS AND DISCUSSION</w:t>
            </w:r>
          </w:p>
        </w:tc>
        <w:tc>
          <w:tcPr>
            <w:tcW w:type="dxa" w:w="1440"/>
          </w:tcPr>
          <w:p>
            <w:r>
              <w:rPr>
                <w:b/>
                <w:color w:val="000000"/>
                <w:sz w:val="22"/>
              </w:rPr>
              <w:t>19</w:t>
            </w:r>
          </w:p>
        </w:tc>
      </w:tr>
      <w:tr>
        <w:tc>
          <w:tcPr>
            <w:tcW w:type="dxa" w:w="1872"/>
          </w:tcPr>
          <w:p>
            <w:r>
              <w:rPr>
                <w:color w:val="000000"/>
                <w:sz w:val="22"/>
              </w:rPr>
            </w:r>
          </w:p>
        </w:tc>
        <w:tc>
          <w:tcPr>
            <w:tcW w:type="dxa" w:w="6192"/>
          </w:tcPr>
          <w:p>
            <w:r>
              <w:rPr>
                <w:color w:val="000000"/>
                <w:sz w:val="22"/>
              </w:rPr>
              <w:t>5.1 IMPLEMENTATION OVERVIEW</w:t>
            </w:r>
          </w:p>
        </w:tc>
        <w:tc>
          <w:tcPr>
            <w:tcW w:type="dxa" w:w="1440"/>
          </w:tcPr>
          <w:p>
            <w:r>
              <w:rPr>
                <w:color w:val="000000"/>
                <w:sz w:val="22"/>
              </w:rPr>
              <w:t>19</w:t>
            </w:r>
          </w:p>
        </w:tc>
      </w:tr>
      <w:tr>
        <w:tc>
          <w:tcPr>
            <w:tcW w:type="dxa" w:w="1872"/>
          </w:tcPr>
          <w:p>
            <w:r>
              <w:rPr>
                <w:color w:val="000000"/>
                <w:sz w:val="22"/>
              </w:rPr>
            </w:r>
          </w:p>
        </w:tc>
        <w:tc>
          <w:tcPr>
            <w:tcW w:type="dxa" w:w="6192"/>
          </w:tcPr>
          <w:p>
            <w:r>
              <w:rPr>
                <w:color w:val="000000"/>
                <w:sz w:val="22"/>
              </w:rPr>
              <w:t>5.2 KEY FUNCTIONS (CODE EXPLANATION)</w:t>
            </w:r>
          </w:p>
        </w:tc>
        <w:tc>
          <w:tcPr>
            <w:tcW w:type="dxa" w:w="1440"/>
          </w:tcPr>
          <w:p>
            <w:r>
              <w:rPr>
                <w:color w:val="000000"/>
                <w:sz w:val="22"/>
              </w:rPr>
              <w:t>19</w:t>
            </w:r>
          </w:p>
        </w:tc>
      </w:tr>
      <w:tr>
        <w:tc>
          <w:tcPr>
            <w:tcW w:type="dxa" w:w="1872"/>
          </w:tcPr>
          <w:p>
            <w:r>
              <w:rPr>
                <w:color w:val="000000"/>
                <w:sz w:val="22"/>
              </w:rPr>
            </w:r>
          </w:p>
        </w:tc>
        <w:tc>
          <w:tcPr>
            <w:tcW w:type="dxa" w:w="6192"/>
          </w:tcPr>
          <w:p>
            <w:r>
              <w:rPr>
                <w:color w:val="000000"/>
                <w:sz w:val="22"/>
              </w:rPr>
              <w:t xml:space="preserve">    5.2.1 Real-Time GHG Protocol Carbon Engine</w:t>
            </w:r>
          </w:p>
        </w:tc>
        <w:tc>
          <w:tcPr>
            <w:tcW w:type="dxa" w:w="1440"/>
          </w:tcPr>
          <w:p>
            <w:r>
              <w:rPr>
                <w:color w:val="000000"/>
                <w:sz w:val="22"/>
              </w:rPr>
              <w:t>19</w:t>
            </w:r>
          </w:p>
        </w:tc>
      </w:tr>
      <w:tr>
        <w:tc>
          <w:tcPr>
            <w:tcW w:type="dxa" w:w="1872"/>
          </w:tcPr>
          <w:p>
            <w:r>
              <w:rPr>
                <w:color w:val="000000"/>
                <w:sz w:val="22"/>
              </w:rPr>
            </w:r>
          </w:p>
        </w:tc>
        <w:tc>
          <w:tcPr>
            <w:tcW w:type="dxa" w:w="6192"/>
          </w:tcPr>
          <w:p>
            <w:r>
              <w:rPr>
                <w:color w:val="000000"/>
                <w:sz w:val="22"/>
              </w:rPr>
              <w:t xml:space="preserve">    5.2.2 Dynamic Waste Diversion &amp; Recycling Engine</w:t>
            </w:r>
          </w:p>
        </w:tc>
        <w:tc>
          <w:tcPr>
            <w:tcW w:type="dxa" w:w="1440"/>
          </w:tcPr>
          <w:p>
            <w:r>
              <w:rPr>
                <w:color w:val="000000"/>
                <w:sz w:val="22"/>
              </w:rPr>
              <w:t>20</w:t>
            </w:r>
          </w:p>
        </w:tc>
      </w:tr>
      <w:tr>
        <w:tc>
          <w:tcPr>
            <w:tcW w:type="dxa" w:w="1872"/>
          </w:tcPr>
          <w:p>
            <w:r>
              <w:rPr>
                <w:color w:val="000000"/>
                <w:sz w:val="22"/>
              </w:rPr>
            </w:r>
          </w:p>
        </w:tc>
        <w:tc>
          <w:tcPr>
            <w:tcW w:type="dxa" w:w="6192"/>
          </w:tcPr>
          <w:p>
            <w:r>
              <w:rPr>
                <w:color w:val="000000"/>
                <w:sz w:val="22"/>
              </w:rPr>
              <w:t xml:space="preserve">    5.2.3 Composite ESG Scoring &amp; Index Algorithm</w:t>
            </w:r>
          </w:p>
        </w:tc>
        <w:tc>
          <w:tcPr>
            <w:tcW w:type="dxa" w:w="1440"/>
          </w:tcPr>
          <w:p>
            <w:r>
              <w:rPr>
                <w:color w:val="000000"/>
                <w:sz w:val="22"/>
              </w:rPr>
              <w:t>21</w:t>
            </w:r>
          </w:p>
        </w:tc>
      </w:tr>
      <w:tr>
        <w:tc>
          <w:tcPr>
            <w:tcW w:type="dxa" w:w="1872"/>
          </w:tcPr>
          <w:p>
            <w:r>
              <w:rPr>
                <w:color w:val="000000"/>
                <w:sz w:val="22"/>
              </w:rPr>
            </w:r>
          </w:p>
        </w:tc>
        <w:tc>
          <w:tcPr>
            <w:tcW w:type="dxa" w:w="6192"/>
          </w:tcPr>
          <w:p>
            <w:r>
              <w:rPr>
                <w:color w:val="000000"/>
                <w:sz w:val="22"/>
              </w:rPr>
              <w:t xml:space="preserve">    5.2.4 Robust SRV Resolution with Public DNS Override</w:t>
            </w:r>
          </w:p>
        </w:tc>
        <w:tc>
          <w:tcPr>
            <w:tcW w:type="dxa" w:w="1440"/>
          </w:tcPr>
          <w:p>
            <w:r>
              <w:rPr>
                <w:color w:val="000000"/>
                <w:sz w:val="22"/>
              </w:rPr>
              <w:t>21</w:t>
            </w:r>
          </w:p>
        </w:tc>
      </w:tr>
      <w:tr>
        <w:tc>
          <w:tcPr>
            <w:tcW w:type="dxa" w:w="1872"/>
          </w:tcPr>
          <w:p>
            <w:r>
              <w:rPr>
                <w:color w:val="000000"/>
                <w:sz w:val="22"/>
              </w:rPr>
            </w:r>
          </w:p>
        </w:tc>
        <w:tc>
          <w:tcPr>
            <w:tcW w:type="dxa" w:w="6192"/>
          </w:tcPr>
          <w:p>
            <w:r>
              <w:rPr>
                <w:color w:val="000000"/>
                <w:sz w:val="22"/>
              </w:rPr>
              <w:t xml:space="preserve">    5.2.5 Cryptographic Authentication &amp; RBAC Guards</w:t>
            </w:r>
          </w:p>
        </w:tc>
        <w:tc>
          <w:tcPr>
            <w:tcW w:type="dxa" w:w="1440"/>
          </w:tcPr>
          <w:p>
            <w:r>
              <w:rPr>
                <w:color w:val="000000"/>
                <w:sz w:val="22"/>
              </w:rPr>
              <w:t>22</w:t>
            </w:r>
          </w:p>
        </w:tc>
      </w:tr>
      <w:tr>
        <w:tc>
          <w:tcPr>
            <w:tcW w:type="dxa" w:w="1872"/>
          </w:tcPr>
          <w:p>
            <w:r>
              <w:rPr>
                <w:color w:val="000000"/>
                <w:sz w:val="22"/>
              </w:rPr>
            </w:r>
          </w:p>
        </w:tc>
        <w:tc>
          <w:tcPr>
            <w:tcW w:type="dxa" w:w="6192"/>
          </w:tcPr>
          <w:p>
            <w:r>
              <w:rPr>
                <w:color w:val="000000"/>
                <w:sz w:val="22"/>
              </w:rPr>
              <w:t>5.3 SCREENSHOTS OF THE ACTUAL APPLICATION</w:t>
            </w:r>
          </w:p>
        </w:tc>
        <w:tc>
          <w:tcPr>
            <w:tcW w:type="dxa" w:w="1440"/>
          </w:tcPr>
          <w:p>
            <w:r>
              <w:rPr>
                <w:color w:val="000000"/>
                <w:sz w:val="22"/>
              </w:rPr>
              <w:t>23</w:t>
            </w:r>
          </w:p>
        </w:tc>
      </w:tr>
      <w:tr>
        <w:tc>
          <w:tcPr>
            <w:tcW w:type="dxa" w:w="1872"/>
          </w:tcPr>
          <w:p>
            <w:r>
              <w:rPr>
                <w:b/>
                <w:color w:val="000000"/>
                <w:sz w:val="22"/>
              </w:rPr>
              <w:t>6.</w:t>
            </w:r>
          </w:p>
        </w:tc>
        <w:tc>
          <w:tcPr>
            <w:tcW w:type="dxa" w:w="6192"/>
          </w:tcPr>
          <w:p>
            <w:r>
              <w:rPr>
                <w:b/>
                <w:color w:val="000000"/>
                <w:sz w:val="22"/>
              </w:rPr>
              <w:t>CONCLUSION &amp; FUTURE WORK</w:t>
            </w:r>
          </w:p>
        </w:tc>
        <w:tc>
          <w:tcPr>
            <w:tcW w:type="dxa" w:w="1440"/>
          </w:tcPr>
          <w:p>
            <w:r>
              <w:rPr>
                <w:b/>
                <w:color w:val="000000"/>
                <w:sz w:val="22"/>
              </w:rPr>
              <w:t>28</w:t>
            </w:r>
          </w:p>
        </w:tc>
      </w:tr>
      <w:tr>
        <w:tc>
          <w:tcPr>
            <w:tcW w:type="dxa" w:w="1872"/>
          </w:tcPr>
          <w:p>
            <w:r>
              <w:rPr>
                <w:color w:val="000000"/>
                <w:sz w:val="22"/>
              </w:rPr>
            </w:r>
          </w:p>
        </w:tc>
        <w:tc>
          <w:tcPr>
            <w:tcW w:type="dxa" w:w="6192"/>
          </w:tcPr>
          <w:p>
            <w:r>
              <w:rPr>
                <w:color w:val="000000"/>
                <w:sz w:val="22"/>
              </w:rPr>
              <w:t>6.1 CONCLUSION</w:t>
            </w:r>
          </w:p>
        </w:tc>
        <w:tc>
          <w:tcPr>
            <w:tcW w:type="dxa" w:w="1440"/>
          </w:tcPr>
          <w:p>
            <w:r>
              <w:rPr>
                <w:color w:val="000000"/>
                <w:sz w:val="22"/>
              </w:rPr>
              <w:t>28</w:t>
            </w:r>
          </w:p>
        </w:tc>
      </w:tr>
      <w:tr>
        <w:tc>
          <w:tcPr>
            <w:tcW w:type="dxa" w:w="1872"/>
          </w:tcPr>
          <w:p>
            <w:r>
              <w:rPr>
                <w:color w:val="000000"/>
                <w:sz w:val="22"/>
              </w:rPr>
            </w:r>
          </w:p>
        </w:tc>
        <w:tc>
          <w:tcPr>
            <w:tcW w:type="dxa" w:w="6192"/>
          </w:tcPr>
          <w:p>
            <w:r>
              <w:rPr>
                <w:color w:val="000000"/>
                <w:sz w:val="22"/>
              </w:rPr>
              <w:t>6.2 FUTURE ENHANCEMENTS</w:t>
            </w:r>
          </w:p>
        </w:tc>
        <w:tc>
          <w:tcPr>
            <w:tcW w:type="dxa" w:w="1440"/>
          </w:tcPr>
          <w:p>
            <w:r>
              <w:rPr>
                <w:color w:val="000000"/>
                <w:sz w:val="22"/>
              </w:rPr>
              <w:t>28</w:t>
            </w:r>
          </w:p>
        </w:tc>
      </w:tr>
      <w:tr>
        <w:tc>
          <w:tcPr>
            <w:tcW w:type="dxa" w:w="1872"/>
          </w:tcPr>
          <w:p>
            <w:r>
              <w:rPr>
                <w:b/>
                <w:color w:val="000000"/>
                <w:sz w:val="22"/>
              </w:rPr>
              <w:t>APPENDIX</w:t>
            </w:r>
          </w:p>
        </w:tc>
        <w:tc>
          <w:tcPr>
            <w:tcW w:type="dxa" w:w="6192"/>
          </w:tcPr>
          <w:p>
            <w:r>
              <w:rPr>
                <w:b/>
                <w:color w:val="000000"/>
                <w:sz w:val="22"/>
              </w:rPr>
              <w:t>SOURCE CODE &amp; CONFIGURATIONS</w:t>
            </w:r>
          </w:p>
        </w:tc>
        <w:tc>
          <w:tcPr>
            <w:tcW w:type="dxa" w:w="1440"/>
          </w:tcPr>
          <w:p>
            <w:r>
              <w:rPr>
                <w:b/>
                <w:color w:val="000000"/>
                <w:sz w:val="22"/>
              </w:rPr>
              <w:t>30</w:t>
            </w:r>
          </w:p>
        </w:tc>
      </w:tr>
      <w:tr>
        <w:tc>
          <w:tcPr>
            <w:tcW w:type="dxa" w:w="1872"/>
          </w:tcPr>
          <w:p>
            <w:r>
              <w:rPr>
                <w:b/>
                <w:color w:val="000000"/>
                <w:sz w:val="22"/>
              </w:rPr>
            </w:r>
          </w:p>
        </w:tc>
        <w:tc>
          <w:tcPr>
            <w:tcW w:type="dxa" w:w="6192"/>
          </w:tcPr>
          <w:p>
            <w:r>
              <w:rPr>
                <w:b/>
                <w:color w:val="000000"/>
                <w:sz w:val="22"/>
              </w:rPr>
              <w:t>REFERENCES</w:t>
            </w:r>
          </w:p>
        </w:tc>
        <w:tc>
          <w:tcPr>
            <w:tcW w:type="dxa" w:w="1440"/>
          </w:tcPr>
          <w:p>
            <w:r>
              <w:rPr>
                <w:b/>
                <w:color w:val="000000"/>
                <w:sz w:val="22"/>
              </w:rPr>
              <w:t>38</w:t>
            </w:r>
          </w:p>
        </w:tc>
      </w:tr>
    </w:tbl>
    <w:p>
      <w:r>
        <w:br w:type="page"/>
      </w:r>
    </w:p>
    <w:p>
      <w:pPr>
        <w:spacing w:before="200" w:after="360"/>
        <w:jc w:val="center"/>
      </w:pPr>
      <w:r>
        <w:rPr>
          <w:b/>
          <w:color w:val="000000"/>
          <w:sz w:val="28"/>
        </w:rPr>
        <w:t>LIST OF TABLES</w:t>
      </w:r>
    </w:p>
    <w:tbl>
      <w:tblPr>
        <w:tblW w:type="auto" w:w="0"/>
        <w:jc w:val="center"/>
        <w:tblLayout w:type="fixed"/>
        <w:tblLook w:firstColumn="1" w:firstRow="1" w:lastColumn="0" w:lastRow="0" w:noHBand="0" w:noVBand="1" w:val="04A0"/>
      </w:tblPr>
      <w:tblGrid>
        <w:gridCol w:w="3120"/>
        <w:gridCol w:w="3120"/>
        <w:gridCol w:w="3120"/>
      </w:tblGrid>
      <w:tr>
        <w:tc>
          <w:tcPr>
            <w:tcW w:type="dxa" w:w="1872"/>
            <w:shd w:val="clear" w:color="auto" w:fill="E2E8F0"/>
          </w:tcPr>
          <w:p>
            <w:r>
              <w:rPr>
                <w:b/>
                <w:color w:val="000000"/>
                <w:sz w:val="22"/>
              </w:rPr>
              <w:t>TABLE NO.</w:t>
            </w:r>
          </w:p>
        </w:tc>
        <w:tc>
          <w:tcPr>
            <w:tcW w:type="dxa" w:w="6192"/>
            <w:shd w:val="clear" w:color="auto" w:fill="E2E8F0"/>
          </w:tcPr>
          <w:p>
            <w:r>
              <w:rPr>
                <w:b/>
                <w:color w:val="000000"/>
                <w:sz w:val="22"/>
              </w:rPr>
              <w:t>TABLE TITLE</w:t>
            </w:r>
          </w:p>
        </w:tc>
        <w:tc>
          <w:tcPr>
            <w:tcW w:type="dxa" w:w="1440"/>
            <w:shd w:val="clear" w:color="auto" w:fill="E2E8F0"/>
          </w:tcPr>
          <w:p>
            <w:r>
              <w:rPr>
                <w:b/>
                <w:color w:val="000000"/>
                <w:sz w:val="22"/>
              </w:rPr>
              <w:t>PAGE No.</w:t>
            </w:r>
          </w:p>
        </w:tc>
      </w:tr>
      <w:tr>
        <w:tc>
          <w:tcPr>
            <w:tcW w:type="dxa" w:w="1872"/>
          </w:tcPr>
          <w:p>
            <w:r>
              <w:rPr>
                <w:color w:val="000000"/>
                <w:sz w:val="22"/>
              </w:rPr>
              <w:t>3.1</w:t>
            </w:r>
          </w:p>
        </w:tc>
        <w:tc>
          <w:tcPr>
            <w:tcW w:type="dxa" w:w="6192"/>
          </w:tcPr>
          <w:p>
            <w:r>
              <w:rPr>
                <w:color w:val="000000"/>
                <w:sz w:val="22"/>
              </w:rPr>
              <w:t>Minimum Software Requirements for Development and Production Hosting</w:t>
            </w:r>
          </w:p>
        </w:tc>
        <w:tc>
          <w:tcPr>
            <w:tcW w:type="dxa" w:w="1440"/>
          </w:tcPr>
          <w:p>
            <w:r>
              <w:rPr>
                <w:color w:val="000000"/>
                <w:sz w:val="22"/>
              </w:rPr>
              <w:t>11</w:t>
            </w:r>
          </w:p>
        </w:tc>
      </w:tr>
      <w:tr>
        <w:tc>
          <w:tcPr>
            <w:tcW w:type="dxa" w:w="1872"/>
          </w:tcPr>
          <w:p>
            <w:r>
              <w:rPr>
                <w:color w:val="000000"/>
                <w:sz w:val="22"/>
              </w:rPr>
              <w:t>3.2</w:t>
            </w:r>
          </w:p>
        </w:tc>
        <w:tc>
          <w:tcPr>
            <w:tcW w:type="dxa" w:w="6192"/>
          </w:tcPr>
          <w:p>
            <w:r>
              <w:rPr>
                <w:color w:val="000000"/>
                <w:sz w:val="22"/>
              </w:rPr>
              <w:t>Minimum and Recommended Hardware Specifications</w:t>
            </w:r>
          </w:p>
        </w:tc>
        <w:tc>
          <w:tcPr>
            <w:tcW w:type="dxa" w:w="1440"/>
          </w:tcPr>
          <w:p>
            <w:r>
              <w:rPr>
                <w:color w:val="000000"/>
                <w:sz w:val="22"/>
              </w:rPr>
              <w:t>12</w:t>
            </w:r>
          </w:p>
        </w:tc>
      </w:tr>
      <w:tr>
        <w:tc>
          <w:tcPr>
            <w:tcW w:type="dxa" w:w="1872"/>
          </w:tcPr>
          <w:p>
            <w:r>
              <w:rPr>
                <w:color w:val="000000"/>
                <w:sz w:val="22"/>
              </w:rPr>
              <w:t>4.1</w:t>
            </w:r>
          </w:p>
        </w:tc>
        <w:tc>
          <w:tcPr>
            <w:tcW w:type="dxa" w:w="6192"/>
          </w:tcPr>
          <w:p>
            <w:r>
              <w:rPr>
                <w:color w:val="000000"/>
                <w:sz w:val="22"/>
              </w:rPr>
              <w:t>Summary of EcoTrack System Modules and Core Responsibilities</w:t>
            </w:r>
          </w:p>
        </w:tc>
        <w:tc>
          <w:tcPr>
            <w:tcW w:type="dxa" w:w="1440"/>
          </w:tcPr>
          <w:p>
            <w:r>
              <w:rPr>
                <w:color w:val="000000"/>
                <w:sz w:val="22"/>
              </w:rPr>
              <w:t>15</w:t>
            </w:r>
          </w:p>
        </w:tc>
      </w:tr>
    </w:tbl>
    <w:p>
      <w:r>
        <w:br w:type="page"/>
      </w:r>
    </w:p>
    <w:p>
      <w:pPr>
        <w:spacing w:before="200" w:after="360"/>
        <w:jc w:val="center"/>
      </w:pPr>
      <w:r>
        <w:rPr>
          <w:b/>
          <w:color w:val="000000"/>
          <w:sz w:val="28"/>
        </w:rPr>
        <w:t>LIST OF FIGURES</w:t>
      </w:r>
    </w:p>
    <w:tbl>
      <w:tblPr>
        <w:tblW w:type="auto" w:w="0"/>
        <w:jc w:val="center"/>
        <w:tblLayout w:type="fixed"/>
        <w:tblLook w:firstColumn="1" w:firstRow="1" w:lastColumn="0" w:lastRow="0" w:noHBand="0" w:noVBand="1" w:val="04A0"/>
      </w:tblPr>
      <w:tblGrid>
        <w:gridCol w:w="3120"/>
        <w:gridCol w:w="3120"/>
        <w:gridCol w:w="3120"/>
      </w:tblGrid>
      <w:tr>
        <w:tc>
          <w:tcPr>
            <w:tcW w:type="dxa" w:w="1872"/>
            <w:shd w:val="clear" w:color="auto" w:fill="E2E8F0"/>
          </w:tcPr>
          <w:p>
            <w:r>
              <w:rPr>
                <w:b/>
                <w:color w:val="000000"/>
                <w:sz w:val="22"/>
              </w:rPr>
              <w:t>FIGURE NO.</w:t>
            </w:r>
          </w:p>
        </w:tc>
        <w:tc>
          <w:tcPr>
            <w:tcW w:type="dxa" w:w="6192"/>
            <w:shd w:val="clear" w:color="auto" w:fill="E2E8F0"/>
          </w:tcPr>
          <w:p>
            <w:r>
              <w:rPr>
                <w:b/>
                <w:color w:val="000000"/>
                <w:sz w:val="22"/>
              </w:rPr>
              <w:t>FIGURE TITLE</w:t>
            </w:r>
          </w:p>
        </w:tc>
        <w:tc>
          <w:tcPr>
            <w:tcW w:type="dxa" w:w="1440"/>
            <w:shd w:val="clear" w:color="auto" w:fill="E2E8F0"/>
          </w:tcPr>
          <w:p>
            <w:r>
              <w:rPr>
                <w:b/>
                <w:color w:val="000000"/>
                <w:sz w:val="22"/>
              </w:rPr>
              <w:t>PAGE No.</w:t>
            </w:r>
          </w:p>
        </w:tc>
      </w:tr>
      <w:tr>
        <w:tc>
          <w:tcPr>
            <w:tcW w:type="dxa" w:w="1872"/>
          </w:tcPr>
          <w:p>
            <w:r>
              <w:rPr>
                <w:color w:val="000000"/>
                <w:sz w:val="22"/>
              </w:rPr>
              <w:t>4.1</w:t>
            </w:r>
          </w:p>
        </w:tc>
        <w:tc>
          <w:tcPr>
            <w:tcW w:type="dxa" w:w="6192"/>
          </w:tcPr>
          <w:p>
            <w:r>
              <w:rPr>
                <w:color w:val="000000"/>
                <w:sz w:val="22"/>
              </w:rPr>
              <w:t>EcoTrack ESG Management Platform -- Layered System Architecture</w:t>
            </w:r>
          </w:p>
        </w:tc>
        <w:tc>
          <w:tcPr>
            <w:tcW w:type="dxa" w:w="1440"/>
          </w:tcPr>
          <w:p>
            <w:r>
              <w:rPr>
                <w:color w:val="000000"/>
                <w:sz w:val="22"/>
              </w:rPr>
              <w:t>14</w:t>
            </w:r>
          </w:p>
        </w:tc>
      </w:tr>
      <w:tr>
        <w:tc>
          <w:tcPr>
            <w:tcW w:type="dxa" w:w="1872"/>
          </w:tcPr>
          <w:p>
            <w:r>
              <w:rPr>
                <w:color w:val="000000"/>
                <w:sz w:val="22"/>
              </w:rPr>
              <w:t>4.2</w:t>
            </w:r>
          </w:p>
        </w:tc>
        <w:tc>
          <w:tcPr>
            <w:tcW w:type="dxa" w:w="6192"/>
          </w:tcPr>
          <w:p>
            <w:r>
              <w:rPr>
                <w:color w:val="000000"/>
                <w:sz w:val="22"/>
              </w:rPr>
              <w:t>UML Class Diagram of EcoTrack Mongoose Document Models &amp; Relationships</w:t>
            </w:r>
          </w:p>
        </w:tc>
        <w:tc>
          <w:tcPr>
            <w:tcW w:type="dxa" w:w="1440"/>
          </w:tcPr>
          <w:p>
            <w:r>
              <w:rPr>
                <w:color w:val="000000"/>
                <w:sz w:val="22"/>
              </w:rPr>
              <w:t>16</w:t>
            </w:r>
          </w:p>
        </w:tc>
      </w:tr>
      <w:tr>
        <w:tc>
          <w:tcPr>
            <w:tcW w:type="dxa" w:w="1872"/>
          </w:tcPr>
          <w:p>
            <w:r>
              <w:rPr>
                <w:color w:val="000000"/>
                <w:sz w:val="22"/>
              </w:rPr>
              <w:t>4.3</w:t>
            </w:r>
          </w:p>
        </w:tc>
        <w:tc>
          <w:tcPr>
            <w:tcW w:type="dxa" w:w="6192"/>
          </w:tcPr>
          <w:p>
            <w:r>
              <w:rPr>
                <w:color w:val="000000"/>
                <w:sz w:val="22"/>
              </w:rPr>
              <w:t>End-to-End ESG Telemetry Ingestion Sequence Diagram</w:t>
            </w:r>
          </w:p>
        </w:tc>
        <w:tc>
          <w:tcPr>
            <w:tcW w:type="dxa" w:w="1440"/>
          </w:tcPr>
          <w:p>
            <w:r>
              <w:rPr>
                <w:color w:val="000000"/>
                <w:sz w:val="22"/>
              </w:rPr>
              <w:t>18</w:t>
            </w:r>
          </w:p>
        </w:tc>
      </w:tr>
      <w:tr>
        <w:tc>
          <w:tcPr>
            <w:tcW w:type="dxa" w:w="1872"/>
          </w:tcPr>
          <w:p>
            <w:r>
              <w:rPr>
                <w:color w:val="000000"/>
                <w:sz w:val="22"/>
              </w:rPr>
              <w:t>1</w:t>
            </w:r>
          </w:p>
        </w:tc>
        <w:tc>
          <w:tcPr>
            <w:tcW w:type="dxa" w:w="6192"/>
          </w:tcPr>
          <w:p>
            <w:r>
              <w:rPr>
                <w:color w:val="000000"/>
                <w:sz w:val="22"/>
              </w:rPr>
              <w:t>Executive ESG Dashboard -- KPI Metric Cards, Health Score, and Carbon Trends</w:t>
            </w:r>
          </w:p>
        </w:tc>
        <w:tc>
          <w:tcPr>
            <w:tcW w:type="dxa" w:w="1440"/>
          </w:tcPr>
          <w:p>
            <w:r>
              <w:rPr>
                <w:color w:val="000000"/>
                <w:sz w:val="22"/>
              </w:rPr>
              <w:t>23</w:t>
            </w:r>
          </w:p>
        </w:tc>
      </w:tr>
      <w:tr>
        <w:tc>
          <w:tcPr>
            <w:tcW w:type="dxa" w:w="1872"/>
          </w:tcPr>
          <w:p>
            <w:r>
              <w:rPr>
                <w:color w:val="000000"/>
                <w:sz w:val="22"/>
              </w:rPr>
              <w:t>2</w:t>
            </w:r>
          </w:p>
        </w:tc>
        <w:tc>
          <w:tcPr>
            <w:tcW w:type="dxa" w:w="6192"/>
          </w:tcPr>
          <w:p>
            <w:r>
              <w:rPr>
                <w:color w:val="000000"/>
                <w:sz w:val="22"/>
              </w:rPr>
              <w:t>Energy Tracking &amp; Ingestion Interface -- Live Filtered Record Table</w:t>
            </w:r>
          </w:p>
        </w:tc>
        <w:tc>
          <w:tcPr>
            <w:tcW w:type="dxa" w:w="1440"/>
          </w:tcPr>
          <w:p>
            <w:r>
              <w:rPr>
                <w:color w:val="000000"/>
                <w:sz w:val="22"/>
              </w:rPr>
              <w:t>23</w:t>
            </w:r>
          </w:p>
        </w:tc>
      </w:tr>
      <w:tr>
        <w:tc>
          <w:tcPr>
            <w:tcW w:type="dxa" w:w="1872"/>
          </w:tcPr>
          <w:p>
            <w:r>
              <w:rPr>
                <w:color w:val="000000"/>
                <w:sz w:val="22"/>
              </w:rPr>
              <w:t>3</w:t>
            </w:r>
          </w:p>
        </w:tc>
        <w:tc>
          <w:tcPr>
            <w:tcW w:type="dxa" w:w="6192"/>
          </w:tcPr>
          <w:p>
            <w:r>
              <w:rPr>
                <w:color w:val="000000"/>
                <w:sz w:val="22"/>
              </w:rPr>
              <w:t>Energy Record Logging Modal -- Unit &amp; Cost Validation Interface</w:t>
            </w:r>
          </w:p>
        </w:tc>
        <w:tc>
          <w:tcPr>
            <w:tcW w:type="dxa" w:w="1440"/>
          </w:tcPr>
          <w:p>
            <w:r>
              <w:rPr>
                <w:color w:val="000000"/>
                <w:sz w:val="22"/>
              </w:rPr>
              <w:t>24</w:t>
            </w:r>
          </w:p>
        </w:tc>
      </w:tr>
      <w:tr>
        <w:tc>
          <w:tcPr>
            <w:tcW w:type="dxa" w:w="1872"/>
          </w:tcPr>
          <w:p>
            <w:r>
              <w:rPr>
                <w:color w:val="000000"/>
                <w:sz w:val="22"/>
              </w:rPr>
              <w:t>4</w:t>
            </w:r>
          </w:p>
        </w:tc>
        <w:tc>
          <w:tcPr>
            <w:tcW w:type="dxa" w:w="6192"/>
          </w:tcPr>
          <w:p>
            <w:r>
              <w:rPr>
                <w:color w:val="000000"/>
                <w:sz w:val="22"/>
              </w:rPr>
              <w:t>Greenhouse Gas Carbon Footprint Page -- Scope 1, 2, and 3 Emissions Breakdown</w:t>
            </w:r>
          </w:p>
        </w:tc>
        <w:tc>
          <w:tcPr>
            <w:tcW w:type="dxa" w:w="1440"/>
          </w:tcPr>
          <w:p>
            <w:r>
              <w:rPr>
                <w:color w:val="000000"/>
                <w:sz w:val="22"/>
              </w:rPr>
              <w:t>24</w:t>
            </w:r>
          </w:p>
        </w:tc>
      </w:tr>
      <w:tr>
        <w:tc>
          <w:tcPr>
            <w:tcW w:type="dxa" w:w="1872"/>
          </w:tcPr>
          <w:p>
            <w:r>
              <w:rPr>
                <w:color w:val="000000"/>
                <w:sz w:val="22"/>
              </w:rPr>
              <w:t>5</w:t>
            </w:r>
          </w:p>
        </w:tc>
        <w:tc>
          <w:tcPr>
            <w:tcW w:type="dxa" w:w="6192"/>
          </w:tcPr>
          <w:p>
            <w:r>
              <w:rPr>
                <w:color w:val="000000"/>
                <w:sz w:val="22"/>
              </w:rPr>
              <w:t>Waste Stream &amp; Circularity Interface -- Recycling Diversion Rate Metrics</w:t>
            </w:r>
          </w:p>
        </w:tc>
        <w:tc>
          <w:tcPr>
            <w:tcW w:type="dxa" w:w="1440"/>
          </w:tcPr>
          <w:p>
            <w:r>
              <w:rPr>
                <w:color w:val="000000"/>
                <w:sz w:val="22"/>
              </w:rPr>
              <w:t>25</w:t>
            </w:r>
          </w:p>
        </w:tc>
      </w:tr>
      <w:tr>
        <w:tc>
          <w:tcPr>
            <w:tcW w:type="dxa" w:w="1872"/>
          </w:tcPr>
          <w:p>
            <w:r>
              <w:rPr>
                <w:color w:val="000000"/>
                <w:sz w:val="22"/>
              </w:rPr>
              <w:t>6</w:t>
            </w:r>
          </w:p>
        </w:tc>
        <w:tc>
          <w:tcPr>
            <w:tcW w:type="dxa" w:w="6192"/>
          </w:tcPr>
          <w:p>
            <w:r>
              <w:rPr>
                <w:color w:val="000000"/>
                <w:sz w:val="22"/>
              </w:rPr>
              <w:t>ESG Historical Scoring &amp; Performance Metrics Analytics</w:t>
            </w:r>
          </w:p>
        </w:tc>
        <w:tc>
          <w:tcPr>
            <w:tcW w:type="dxa" w:w="1440"/>
          </w:tcPr>
          <w:p>
            <w:r>
              <w:rPr>
                <w:color w:val="000000"/>
                <w:sz w:val="22"/>
              </w:rPr>
              <w:t>25</w:t>
            </w:r>
          </w:p>
        </w:tc>
      </w:tr>
      <w:tr>
        <w:tc>
          <w:tcPr>
            <w:tcW w:type="dxa" w:w="1872"/>
          </w:tcPr>
          <w:p>
            <w:r>
              <w:rPr>
                <w:color w:val="000000"/>
                <w:sz w:val="22"/>
              </w:rPr>
              <w:t>7</w:t>
            </w:r>
          </w:p>
        </w:tc>
        <w:tc>
          <w:tcPr>
            <w:tcW w:type="dxa" w:w="6192"/>
          </w:tcPr>
          <w:p>
            <w:r>
              <w:rPr>
                <w:color w:val="000000"/>
                <w:sz w:val="22"/>
              </w:rPr>
              <w:t>Sustainability Goals and Milestone Progress Tracking</w:t>
            </w:r>
          </w:p>
        </w:tc>
        <w:tc>
          <w:tcPr>
            <w:tcW w:type="dxa" w:w="1440"/>
          </w:tcPr>
          <w:p>
            <w:r>
              <w:rPr>
                <w:color w:val="000000"/>
                <w:sz w:val="22"/>
              </w:rPr>
              <w:t>26</w:t>
            </w:r>
          </w:p>
        </w:tc>
      </w:tr>
      <w:tr>
        <w:tc>
          <w:tcPr>
            <w:tcW w:type="dxa" w:w="1872"/>
          </w:tcPr>
          <w:p>
            <w:r>
              <w:rPr>
                <w:color w:val="000000"/>
                <w:sz w:val="22"/>
              </w:rPr>
              <w:t>8</w:t>
            </w:r>
          </w:p>
        </w:tc>
        <w:tc>
          <w:tcPr>
            <w:tcW w:type="dxa" w:w="6192"/>
          </w:tcPr>
          <w:p>
            <w:r>
              <w:rPr>
                <w:color w:val="000000"/>
                <w:sz w:val="22"/>
              </w:rPr>
              <w:t>System Configuration &amp; MongoDB Atlas Cloud Connectivity Status</w:t>
            </w:r>
          </w:p>
        </w:tc>
        <w:tc>
          <w:tcPr>
            <w:tcW w:type="dxa" w:w="1440"/>
          </w:tcPr>
          <w:p>
            <w:r>
              <w:rPr>
                <w:color w:val="000000"/>
                <w:sz w:val="22"/>
              </w:rPr>
              <w:t>26</w:t>
            </w:r>
          </w:p>
        </w:tc>
      </w:tr>
      <w:tr>
        <w:tc>
          <w:tcPr>
            <w:tcW w:type="dxa" w:w="1872"/>
          </w:tcPr>
          <w:p>
            <w:r>
              <w:rPr>
                <w:color w:val="000000"/>
                <w:sz w:val="22"/>
              </w:rPr>
              <w:t>9</w:t>
            </w:r>
          </w:p>
        </w:tc>
        <w:tc>
          <w:tcPr>
            <w:tcW w:type="dxa" w:w="6192"/>
          </w:tcPr>
          <w:p>
            <w:r>
              <w:rPr>
                <w:color w:val="000000"/>
                <w:sz w:val="22"/>
              </w:rPr>
              <w:t>Live MongoDB Atlas Cluster Management Console (AWS Mumbai ap-south-1)</w:t>
            </w:r>
          </w:p>
        </w:tc>
        <w:tc>
          <w:tcPr>
            <w:tcW w:type="dxa" w:w="1440"/>
          </w:tcPr>
          <w:p>
            <w:r>
              <w:rPr>
                <w:color w:val="000000"/>
                <w:sz w:val="22"/>
              </w:rPr>
              <w:t>27</w:t>
            </w:r>
          </w:p>
        </w:tc>
      </w:tr>
    </w:tbl>
    <w:p>
      <w:pPr>
        <w:sectPr>
          <w:footerReference w:type="default" r:id="rId9"/>
          <w:pgSz w:w="12240" w:h="15840"/>
          <w:pgMar w:top="1440" w:right="1080" w:bottom="1080" w:left="1800" w:header="720" w:footer="576" w:gutter="0"/>
          <w:cols w:space="720"/>
          <w:docGrid w:linePitch="360"/>
          <w:pgNumType w:fmt="lowerRoman"/>
        </w:sectPr>
      </w:pPr>
    </w:p>
    <w:p>
      <w:pPr>
        <w:spacing w:before="360" w:after="80"/>
        <w:jc w:val="center"/>
      </w:pPr>
      <w:r>
        <w:rPr>
          <w:b/>
          <w:color w:val="000000"/>
          <w:sz w:val="32"/>
        </w:rPr>
        <w:t>CHAPTER 1</w:t>
      </w:r>
    </w:p>
    <w:p>
      <w:pPr>
        <w:spacing w:before="0" w:after="360"/>
        <w:jc w:val="center"/>
      </w:pPr>
      <w:r>
        <w:rPr>
          <w:b/>
          <w:color w:val="000000"/>
          <w:sz w:val="30"/>
        </w:rPr>
        <w:t>INTRODUCTION</w:t>
      </w:r>
    </w:p>
    <w:p>
      <w:pPr>
        <w:spacing w:line="360" w:lineRule="auto" w:before="0" w:after="160"/>
        <w:jc w:val="both"/>
      </w:pPr>
      <w:r>
        <w:rPr>
          <w:color w:val="000000"/>
          <w:sz w:val="24"/>
        </w:rPr>
        <w:t>This chapter deals with the introduction, operational problem definition, engineering objectives, scope boundaries, and motivational framework underpinning the development of EcoTrack, a cloud-connected ESG sustainability management platform for enterprise carbon accounting and governance.</w:t>
      </w:r>
    </w:p>
    <w:p>
      <w:pPr>
        <w:spacing w:before="320" w:after="120"/>
        <w:jc w:val="both"/>
      </w:pPr>
      <w:r>
        <w:rPr>
          <w:b/>
          <w:color w:val="000000"/>
          <w:sz w:val="28"/>
        </w:rPr>
        <w:t>1.1 OVERVIEW</w:t>
      </w:r>
    </w:p>
    <w:p>
      <w:pPr>
        <w:spacing w:line="360" w:lineRule="auto" w:before="0" w:after="160"/>
        <w:jc w:val="both"/>
      </w:pPr>
      <w:r>
        <w:rPr>
          <w:color w:val="000000"/>
          <w:sz w:val="24"/>
        </w:rPr>
        <w:t>In the contemporary macroeconomic and regulatory landscape, Environmental, Social, and Governance (ESG) performance has evolved from an optional corporate social responsibility (CSR) marketing endeavor into a mission-critical, statutory compliance mandate. Multinational corporations, industrial conglomerates, and emerging small-and-medium enterprises (SMEs) alike face unprecedented pressure from regulatory bodies, institutional investors, and conscious consumers to account for their planetary footprint with rigorous, mathematical precision.</w:t>
      </w:r>
    </w:p>
    <w:p>
      <w:pPr>
        <w:spacing w:line="360" w:lineRule="auto" w:before="0" w:after="160"/>
        <w:jc w:val="both"/>
      </w:pPr>
      <w:r>
        <w:rPr>
          <w:color w:val="000000"/>
          <w:sz w:val="24"/>
        </w:rPr>
        <w:t>Major global compliance directives exemplify this structural shift. The European Union Corporate Sustainability Due Diligence Directive (CSRD) and the Corporate Sustainability Reporting Directive mandate that companies report granular carbon intensity and circularity metrics across entire global supply chains. Simultaneously, the United States Securities and Exchange Commission (SEC) has finalized comprehensive Climate-Related Disclosures requiring public companies to disclose Scope 1 and Scope 2 greenhouse gas (GHG) emissions, and Scope 3 emissions when material. In the Indian corporate theater, the Securities and Exchange Board of India (SEBI) mandates Business Responsibility and Sustainability Reporting (BRSR) for the top 1,000 listed entities, requiring empirical proof of energy conservation, waste diversion, and ethical governance.</w:t>
      </w:r>
    </w:p>
    <w:p>
      <w:pPr>
        <w:spacing w:line="360" w:lineRule="auto" w:before="0" w:after="160"/>
        <w:jc w:val="both"/>
      </w:pPr>
      <w:r>
        <w:rPr>
          <w:color w:val="000000"/>
          <w:sz w:val="24"/>
        </w:rPr>
        <w:t>Despite the critical legal and financial consequences tied to non-compliance, the operational reality of ESG data governance inside most enterprises remains severely fragmented. Operational sustainability telemetry—encompassing power grid consumption, diesel backup generation, natural gas consumption, commercial flight travel, and multi-stream waste disposal—is routinely scattered across isolated spreadsheets, paper logbooks, and disconnected vendor invoices. Because these disparate records lack a centralized ingestion engine, environmental officers spend weeks manually converting disparate measurement units into carbon equivalents, introducing human calculation errors and delayed visibility.</w:t>
      </w:r>
    </w:p>
    <w:p>
      <w:pPr>
        <w:spacing w:line="360" w:lineRule="auto" w:before="0" w:after="160"/>
        <w:jc w:val="both"/>
      </w:pPr>
      <w:r>
        <w:rPr>
          <w:color w:val="000000"/>
          <w:sz w:val="24"/>
        </w:rPr>
        <w:t>EcoTrack is engineered to bridge this technological gap. Built upon a modern, full-stack MERN architecture (MongoDB Atlas, Express.js, React 19, and Node.js with strict TypeScript typing), EcoTrack establishes a high-performance, centralized, and reactive sustainability operating system. The platform unifies facility telemetry, Greenhouse Gas Protocol Scope 1/2/3 conversions, waste recycling tracking, composite ESG health index computation, and automated compliance-grade PDF reporting into a coherent, cloud-synchronized operational mesh. By providing real-time data ingestion and transparent mathematical calculations, EcoTrack equips corporate sustainability teams and certified auditors with the operational rigor and verified data intelligence required to achieve true net-zero targets.</w:t>
      </w:r>
    </w:p>
    <w:p>
      <w:pPr>
        <w:spacing w:before="320" w:after="120"/>
        <w:jc w:val="both"/>
      </w:pPr>
      <w:r>
        <w:rPr>
          <w:b/>
          <w:color w:val="000000"/>
          <w:sz w:val="28"/>
        </w:rPr>
        <w:t>1.2 PROBLEM DEFINITION</w:t>
      </w:r>
    </w:p>
    <w:p>
      <w:pPr>
        <w:spacing w:line="360" w:lineRule="auto" w:before="0" w:after="160"/>
        <w:jc w:val="both"/>
      </w:pPr>
      <w:r>
        <w:rPr>
          <w:color w:val="000000"/>
          <w:sz w:val="24"/>
        </w:rPr>
        <w:t>Modern enterprises navigating mandatory sustainability compliance confront a formidable triad of systemic operational bottlenecks:</w:t>
      </w:r>
    </w:p>
    <w:p>
      <w:pPr>
        <w:spacing w:line="360" w:lineRule="auto" w:before="0" w:after="160"/>
        <w:jc w:val="both"/>
      </w:pPr>
      <w:r>
        <w:rPr>
          <w:color w:val="000000"/>
          <w:sz w:val="24"/>
        </w:rPr>
        <w:t>1. Spreadsheet Fragility &amp; Data Silos: Critical environmental activity data is partitioned across departmental silos. Facility managers track electrical kWh in localized Excel files; logistics teams monitor diesel receipts in desktop spreadsheets; human resources manage employee commuting logs independently; and environmental health officers maintain physical landfill records. Manual spreadsheet compilation suffers from zero concurrency control, fragile cell formulas, and human transcription errors that routinely lead to data loss and corrupted audits.</w:t>
      </w:r>
    </w:p>
    <w:p>
      <w:pPr>
        <w:spacing w:line="360" w:lineRule="auto" w:before="0" w:after="160"/>
        <w:jc w:val="both"/>
      </w:pPr>
      <w:r>
        <w:rPr>
          <w:color w:val="000000"/>
          <w:sz w:val="24"/>
        </w:rPr>
        <w:t>2. Severe Latency in Carbon Accounting: Converting physical operational activity data (such as kilowatt-hours of grid electricity, cubic meters of natural gas, or gallons of diesel) into standardized metric tons of carbon equivalent (tCO2e) requires applying regionally calibrated emission factors. Under traditional mechanisms, this computation is conducted retrospectively at the end of a fiscal year by expensive external environmental consulting firms. Consequently, leadership is deprived of real-time visibility into emission spikes, preventing proactive remediation.</w:t>
      </w:r>
    </w:p>
    <w:p>
      <w:pPr>
        <w:spacing w:line="360" w:lineRule="auto" w:before="0" w:after="160"/>
        <w:jc w:val="both"/>
      </w:pPr>
      <w:r>
        <w:rPr>
          <w:color w:val="000000"/>
          <w:sz w:val="24"/>
        </w:rPr>
        <w:t>3. Prohibitive Complexity of Legacy Enterprise Platforms: Existing tier-1 sustainability software add-ons—such as SAP Cloud for Sustainable Enterprises or IBM Envizi—require multi-year implementation cycles, prohibitive per-seat licensing fees, and complex specialized configuration. Smaller enterprises and growing industrial operators are completely priced out, forcing them to remain reliant on fragile manual methods.</w:t>
      </w:r>
    </w:p>
    <w:p>
      <w:pPr>
        <w:spacing w:before="320" w:after="120"/>
        <w:jc w:val="both"/>
      </w:pPr>
      <w:r>
        <w:rPr>
          <w:b/>
          <w:color w:val="000000"/>
          <w:sz w:val="28"/>
        </w:rPr>
        <w:t>1.3 OBJECTIVE</w:t>
      </w:r>
    </w:p>
    <w:p>
      <w:pPr>
        <w:spacing w:line="360" w:lineRule="auto" w:before="0" w:after="160"/>
        <w:jc w:val="both"/>
      </w:pPr>
      <w:r>
        <w:rPr>
          <w:color w:val="000000"/>
          <w:sz w:val="24"/>
        </w:rPr>
        <w:t>The overarching engineering goal of this project is to research, design, develop, and deploy EcoTrack—a centralized, cloud-native, and reactive ESG Sustainability Management Platform engineered to eliminate manual reporting delays and automate enterprise environmental auditing. The specific technical objectives include:</w:t>
      </w:r>
    </w:p>
    <w:p>
      <w:pPr>
        <w:spacing w:line="360" w:lineRule="auto" w:before="0" w:after="160"/>
        <w:jc w:val="both"/>
      </w:pPr>
      <w:r>
        <w:rPr>
          <w:color w:val="000000"/>
          <w:sz w:val="24"/>
        </w:rPr>
        <w:t>• Unified Environmental Telemetry Ingestion: Architect an intuitive, high-speed data ingestion engine that collects and normalizes energy consumption (Electricity, Natural Gas, Diesel, Solar, District Heating), GHG emissions, and waste metrics across multi-facility operations in real time.</w:t>
      </w:r>
    </w:p>
    <w:p>
      <w:pPr>
        <w:spacing w:line="360" w:lineRule="auto" w:before="0" w:after="160"/>
        <w:jc w:val="both"/>
      </w:pPr>
      <w:r>
        <w:rPr>
          <w:color w:val="000000"/>
          <w:sz w:val="24"/>
        </w:rPr>
        <w:t>• Real-Time GHG Protocol Calculation Engine: Implement automated, server-side mathematical pipelines that convert activity telemetry into Scope 1 (Direct), Scope 2 (Indirect - Purchased Electricity), and Scope 3 (Value Chain &amp; Travel) metric tons of carbon equivalent (tCO2e) with sub-100 millisecond response times.</w:t>
      </w:r>
    </w:p>
    <w:p>
      <w:pPr>
        <w:spacing w:line="360" w:lineRule="auto" w:before="0" w:after="160"/>
        <w:jc w:val="both"/>
      </w:pPr>
      <w:r>
        <w:rPr>
          <w:color w:val="000000"/>
          <w:sz w:val="24"/>
        </w:rPr>
        <w:t>• Mathematical ESG Composite Scoring Index: Formulate a multi-variable normalization algorithm that computes an overall 0–100 Composite ESG Health Score by evaluating weighted Environmental (50%), Social (30%), and Governance (20%) indicators.</w:t>
      </w:r>
    </w:p>
    <w:p>
      <w:pPr>
        <w:spacing w:line="360" w:lineRule="auto" w:before="0" w:after="160"/>
        <w:jc w:val="both"/>
      </w:pPr>
      <w:r>
        <w:rPr>
          <w:color w:val="000000"/>
          <w:sz w:val="24"/>
        </w:rPr>
        <w:t>• High-Performance Glassmorphic Dashboard: Develop a modern, responsive Single Page Application (SPA) using React 19, TypeScript, and Tailwind CSS v4, featuring a high-contrast dark theme, ambient glow aesthetics, and dynamic Recharts data visualizations.</w:t>
      </w:r>
    </w:p>
    <w:p>
      <w:pPr>
        <w:spacing w:line="360" w:lineRule="auto" w:before="0" w:after="160"/>
        <w:jc w:val="both"/>
      </w:pPr>
      <w:r>
        <w:rPr>
          <w:color w:val="000000"/>
          <w:sz w:val="24"/>
        </w:rPr>
        <w:t>• Cloud Database Synchronization &amp; Resilient DNS Overrides: Connect the platform directly to a managed MongoDB Atlas cloud cluster (AWS Mumbai ap-south-1) with custom Google Public DNS overrides (8.8.8.8) to eliminate ISP-level SRV lookup failures, ensuring 99.9% database availability.</w:t>
      </w:r>
    </w:p>
    <w:p>
      <w:pPr>
        <w:spacing w:line="360" w:lineRule="auto" w:before="0" w:after="160"/>
        <w:jc w:val="both"/>
      </w:pPr>
      <w:r>
        <w:rPr>
          <w:color w:val="000000"/>
          <w:sz w:val="24"/>
        </w:rPr>
        <w:t>• Cryptographic Security &amp; Role-Based Access Control: Enforce strict Role-Based Access Control (RBAC) across four operational tiers (Admin, Manager, Employee, Auditor) utilizing bcrypt password salting and stateless HMAC-SHA256 JSON Web Tokens (JWT).</w:t>
      </w:r>
    </w:p>
    <w:p>
      <w:pPr>
        <w:spacing w:before="320" w:after="120"/>
        <w:jc w:val="both"/>
      </w:pPr>
      <w:r>
        <w:rPr>
          <w:b/>
          <w:color w:val="000000"/>
          <w:sz w:val="28"/>
        </w:rPr>
        <w:t>1.4 SCOPE OF THE PROJECT</w:t>
      </w:r>
    </w:p>
    <w:p>
      <w:pPr>
        <w:spacing w:line="360" w:lineRule="auto" w:before="0" w:after="160"/>
        <w:jc w:val="both"/>
      </w:pPr>
      <w:r>
        <w:rPr>
          <w:color w:val="000000"/>
          <w:sz w:val="24"/>
        </w:rPr>
        <w:t>The operational scope of EcoTrack encompasses comprehensive enterprise sustainability tracking, cleanly partitioned into implemented in-scope deliverables and deliberate out-of-scope enterprise boundaries:</w:t>
      </w:r>
    </w:p>
    <w:p>
      <w:pPr>
        <w:spacing w:line="360" w:lineRule="auto" w:before="0" w:after="160"/>
        <w:jc w:val="both"/>
      </w:pPr>
      <w:r>
        <w:rPr>
          <w:color w:val="000000"/>
          <w:sz w:val="24"/>
        </w:rPr>
        <w:t>A. In-Scope Engineering Deliverables:</w:t>
      </w:r>
    </w:p>
    <w:p>
      <w:pPr>
        <w:spacing w:line="360" w:lineRule="auto" w:before="0" w:after="160"/>
        <w:jc w:val="both"/>
      </w:pPr>
      <w:r>
        <w:rPr>
          <w:color w:val="000000"/>
          <w:sz w:val="24"/>
        </w:rPr>
        <w:t>• Executive ESG Intelligence: Executive Command Dashboard featuring real-time KPI cards (Total Energy in kWh, Carbon Footprint in tCO2e, Waste Diversion Rate %, Active Goals Count), dynamic Recharts time-series trends, and a circular SVG Composite ESG Health Index gauge.</w:t>
      </w:r>
    </w:p>
    <w:p>
      <w:pPr>
        <w:spacing w:line="360" w:lineRule="auto" w:before="0" w:after="160"/>
        <w:jc w:val="both"/>
      </w:pPr>
      <w:r>
        <w:rPr>
          <w:color w:val="000000"/>
          <w:sz w:val="24"/>
        </w:rPr>
        <w:t>• Energy Management: Multi-facility energy logging across Electricity, Natural Gas, Diesel, Solar, and District Heating, complete with automated unit conversion into standard kilowatt-hours (kWh).</w:t>
      </w:r>
    </w:p>
    <w:p>
      <w:pPr>
        <w:spacing w:line="360" w:lineRule="auto" w:before="0" w:after="160"/>
        <w:jc w:val="both"/>
      </w:pPr>
      <w:r>
        <w:rPr>
          <w:color w:val="000000"/>
          <w:sz w:val="24"/>
        </w:rPr>
        <w:t>• Greenhouse Gas Accounting: Complete classification of emissions across Scope 1 (Direct fuel combustion), Scope 2 (Purchased electricity), and Scope 3 (Business travel, supply chain freight) with live factor conversion.</w:t>
      </w:r>
    </w:p>
    <w:p>
      <w:pPr>
        <w:spacing w:line="360" w:lineRule="auto" w:before="0" w:after="160"/>
        <w:jc w:val="both"/>
      </w:pPr>
      <w:r>
        <w:rPr>
          <w:color w:val="000000"/>
          <w:sz w:val="24"/>
        </w:rPr>
        <w:t>• Waste Stream &amp; Circularity Governance: Ingestion of solid, hazardous, compost, and electronic waste data, providing real-time landfill diversion and recycling rate calculations.</w:t>
      </w:r>
    </w:p>
    <w:p>
      <w:pPr>
        <w:spacing w:line="360" w:lineRule="auto" w:before="0" w:after="160"/>
        <w:jc w:val="both"/>
      </w:pPr>
      <w:r>
        <w:rPr>
          <w:color w:val="000000"/>
          <w:sz w:val="24"/>
        </w:rPr>
        <w:t>• Sustainability Goals Management: Milestone tracking system with dynamic percentage completion bars, target trajectory indicators, and status badges (On Track, Behind, Achieved).</w:t>
      </w:r>
    </w:p>
    <w:p>
      <w:pPr>
        <w:spacing w:line="360" w:lineRule="auto" w:before="0" w:after="160"/>
        <w:jc w:val="both"/>
      </w:pPr>
      <w:r>
        <w:rPr>
          <w:color w:val="000000"/>
          <w:sz w:val="24"/>
        </w:rPr>
        <w:t>• Automated Compliance PDF Generation: Integrated server-side vector PDF report builder (PDFKit) generating downloadable, audit-ready compliance summaries.</w:t>
      </w:r>
    </w:p>
    <w:p>
      <w:pPr>
        <w:spacing w:line="360" w:lineRule="auto" w:before="0" w:after="160"/>
        <w:jc w:val="both"/>
      </w:pPr>
      <w:r>
        <w:rPr>
          <w:color w:val="000000"/>
          <w:sz w:val="24"/>
        </w:rPr>
        <w:t>• Multi-Facility Filtering Engine: Real-time query parameter sanitizer that cleanses URL queries, allowing instant data filtering by facility, energy type, and date range.</w:t>
      </w:r>
    </w:p>
    <w:p>
      <w:pPr>
        <w:spacing w:line="360" w:lineRule="auto" w:before="0" w:after="160"/>
        <w:jc w:val="both"/>
      </w:pPr>
      <w:r>
        <w:rPr>
          <w:color w:val="000000"/>
          <w:sz w:val="24"/>
        </w:rPr>
        <w:t>B. Out-of-Scope System Boundaries:</w:t>
      </w:r>
    </w:p>
    <w:p>
      <w:pPr>
        <w:spacing w:line="360" w:lineRule="auto" w:before="0" w:after="160"/>
        <w:jc w:val="both"/>
      </w:pPr>
      <w:r>
        <w:rPr>
          <w:color w:val="000000"/>
          <w:sz w:val="24"/>
        </w:rPr>
        <w:t>• Physical IoT Hardware Fabrication: Direct firmware design for physical LoRaWAN or Zigbee smart energy meters is reserved for future hardware revisions.</w:t>
      </w:r>
    </w:p>
    <w:p>
      <w:pPr>
        <w:spacing w:line="360" w:lineRule="auto" w:before="0" w:after="160"/>
        <w:jc w:val="both"/>
      </w:pPr>
      <w:r>
        <w:rPr>
          <w:color w:val="000000"/>
          <w:sz w:val="24"/>
        </w:rPr>
        <w:t>• Automated Carbon Offset Marketplace: Direct trading of verified carbon credits on voluntary carbon exchanges (VCM) is handled externally.</w:t>
      </w:r>
    </w:p>
    <w:p>
      <w:pPr>
        <w:spacing w:before="320" w:after="120"/>
        <w:jc w:val="both"/>
      </w:pPr>
      <w:r>
        <w:rPr>
          <w:b/>
          <w:color w:val="000000"/>
          <w:sz w:val="28"/>
        </w:rPr>
        <w:t>1.5 MOTIVATION</w:t>
      </w:r>
    </w:p>
    <w:p>
      <w:pPr>
        <w:spacing w:line="360" w:lineRule="auto" w:before="0" w:after="160"/>
        <w:jc w:val="both"/>
      </w:pPr>
      <w:r>
        <w:rPr>
          <w:color w:val="000000"/>
          <w:sz w:val="24"/>
        </w:rPr>
        <w:t>The driving motivation behind EcoTrack stems from the recognition that environmental sustainability is no longer merely an ecological preference, but a foundational pillar of modern economic survival. When corporate entities greenwash or produce fabricated environmental claims, they incur devastating investor divestment, consumer backlash, and severe statutory fines. By replacing opaque spreadsheets with transparent, cloud-synchronized, and mathematically verified software systems, EcoTrack empowers modern organizations to conduct environmental stewardship with genuine data integrity and unyielding operational precision.</w:t>
      </w:r>
    </w:p>
    <w:p>
      <w:r>
        <w:br w:type="page"/>
      </w:r>
    </w:p>
    <w:p>
      <w:pPr>
        <w:spacing w:before="360" w:after="80"/>
        <w:jc w:val="center"/>
      </w:pPr>
      <w:r>
        <w:rPr>
          <w:b/>
          <w:color w:val="000000"/>
          <w:sz w:val="32"/>
        </w:rPr>
        <w:t>CHAPTER 2</w:t>
      </w:r>
    </w:p>
    <w:p>
      <w:pPr>
        <w:spacing w:before="0" w:after="360"/>
        <w:jc w:val="center"/>
      </w:pPr>
      <w:r>
        <w:rPr>
          <w:b/>
          <w:color w:val="000000"/>
          <w:sz w:val="30"/>
        </w:rPr>
        <w:t>LITERATURE SURVEY</w:t>
      </w:r>
    </w:p>
    <w:p>
      <w:pPr>
        <w:spacing w:line="360" w:lineRule="auto" w:before="0" w:after="160"/>
        <w:jc w:val="both"/>
      </w:pPr>
      <w:r>
        <w:rPr>
          <w:color w:val="000000"/>
          <w:sz w:val="24"/>
        </w:rPr>
        <w:t>This chapter deals with a critical literature survey of enterprise sustainability accounting, analyzing historical carbon tracking paradigms, documenting operational bottlenecks in existing software tools, and articulating the advantages of the proposed EcoTrack architecture.</w:t>
      </w:r>
    </w:p>
    <w:p>
      <w:pPr>
        <w:spacing w:before="320" w:after="120"/>
        <w:jc w:val="both"/>
      </w:pPr>
      <w:r>
        <w:rPr>
          <w:b/>
          <w:color w:val="000000"/>
          <w:sz w:val="28"/>
        </w:rPr>
        <w:t>2.1 LITERATURE REVIEW</w:t>
      </w:r>
    </w:p>
    <w:p>
      <w:pPr>
        <w:spacing w:line="360" w:lineRule="auto" w:before="0" w:after="160"/>
        <w:jc w:val="both"/>
      </w:pPr>
      <w:r>
        <w:rPr>
          <w:color w:val="000000"/>
          <w:sz w:val="24"/>
        </w:rPr>
        <w:t>The academic and institutional foundation of corporate sustainability accounting originated with the establishment of the Greenhouse Gas Protocol (GHG Protocol) Corporate Standard, formalized by the World Resources Institute (WRI) and the World Business Council for Sustainable Development (WBCSD) in 2004. The GHG Protocol establishes standardized operational boundaries, categorizing greenhouse gas emissions into Scope 1 (direct emissions from owned or controlled sources), Scope 2 (indirect emissions from the generation of purchased electricity, steam, heating, and cooling consumed by the reporting company), and Scope 3 (all other indirect emissions across the corporate value chain).</w:t>
      </w:r>
    </w:p>
    <w:p>
      <w:pPr>
        <w:spacing w:line="360" w:lineRule="auto" w:before="0" w:after="160"/>
        <w:jc w:val="both"/>
      </w:pPr>
      <w:r>
        <w:rPr>
          <w:color w:val="000000"/>
          <w:sz w:val="24"/>
        </w:rPr>
        <w:t>Academic investigations by Lee and Schaltegger (2018) highlighted that despite the standardization of accounting protocols, corporate execution remains severely hampered by data acquisition latency. Their empirical research demonstrated that organizations relying on post-hoc annual data compilation experience an average calculation error rate of 14.8% due to missing invoices and unrecorded fuel receipts. Furthermore, Chen and Delmas (2021) examined corporate carbon disclosures across 500 major enterprises and proved that real-time continuous telemetry ingestion significantly reduces variance and eliminates reporting bias compared to retrospective surveys.</w:t>
      </w:r>
    </w:p>
    <w:p>
      <w:pPr>
        <w:spacing w:line="360" w:lineRule="auto" w:before="0" w:after="160"/>
        <w:jc w:val="both"/>
      </w:pPr>
      <w:r>
        <w:rPr>
          <w:color w:val="000000"/>
          <w:sz w:val="24"/>
        </w:rPr>
        <w:t>In recent years, the integration of modern cloud computing and document-oriented NoSQL architectures into sustainability accounting has garnered significant research interest. As established by Fowler (2019), document-oriented databases such as MongoDB are uniquely suited for heterogeneous environmental telemetry because operational records (such as energy bills, freight slips, and waste manifests) vary drastically in metadata attributes. Rigid relational schemas impose severe schema migration overhead whenever a new facility or renewable energy source is introduced, whereas flexible JSON document stores support dynamic indexing and rapid horizontal scaling across multi-tenant enterprise architectures.</w:t>
      </w:r>
    </w:p>
    <w:p>
      <w:pPr>
        <w:spacing w:line="360" w:lineRule="auto" w:before="0" w:after="160"/>
        <w:jc w:val="both"/>
      </w:pPr>
      <w:r>
        <w:rPr>
          <w:color w:val="000000"/>
          <w:sz w:val="24"/>
        </w:rPr>
        <w:t>Simultaneously, research in human-computer interaction (HCI) conducted by Marcus and Wang (2022) established that dark-mode visual dashboards featuring high-contrast color-coded visual hierarchies significantly reduce cognitive load and eye strain for corporate auditors reviewing extensive time-series datasets. Coupling reactive component frameworks like React 19 with declarative SVG visualization libraries allows executives to interactively drill down into facility-level variances, transforming static compliance obligations into dynamic operational decision-making tools.</w:t>
      </w:r>
    </w:p>
    <w:p>
      <w:pPr>
        <w:spacing w:before="320" w:after="120"/>
        <w:jc w:val="both"/>
      </w:pPr>
      <w:r>
        <w:rPr>
          <w:b/>
          <w:color w:val="000000"/>
          <w:sz w:val="28"/>
        </w:rPr>
        <w:t>2.2 EXISTING SYSTEM</w:t>
      </w:r>
    </w:p>
    <w:p>
      <w:pPr>
        <w:spacing w:line="360" w:lineRule="auto" w:before="0" w:after="160"/>
        <w:jc w:val="both"/>
      </w:pPr>
      <w:r>
        <w:rPr>
          <w:color w:val="000000"/>
          <w:sz w:val="24"/>
        </w:rPr>
        <w:t>The prevailing software landscape utilized by commercial and industrial enterprises for sustainability tracking can be broadly categorized into three distinct operational approaches, each burdened by systemic deficiencies:</w:t>
      </w:r>
    </w:p>
    <w:p>
      <w:pPr>
        <w:spacing w:line="360" w:lineRule="auto" w:before="0" w:after="160"/>
        <w:jc w:val="both"/>
      </w:pPr>
      <w:r>
        <w:rPr>
          <w:color w:val="000000"/>
          <w:sz w:val="24"/>
        </w:rPr>
        <w:t>1. Standalone Spreadsheets (Microsoft Excel / Google Sheets): Over 70% of enterprises still manage their initial ESG tracking via localized spreadsheets. While spreadsheets offer rapid initial flexibility, they possess zero referential integrity, lack cryptographic audit trails, and provide no native mechanism for real-time concurrency. Multiple facility managers maintaining separate spreadsheets inevitably cause version drift, formula overwrite errors, and broken macro scripts. Most critically, spreadsheets fail to provide real-time dashboard analytics or role-based security access.</w:t>
      </w:r>
    </w:p>
    <w:p>
      <w:pPr>
        <w:spacing w:line="360" w:lineRule="auto" w:before="0" w:after="160"/>
        <w:jc w:val="both"/>
      </w:pPr>
      <w:r>
        <w:rPr>
          <w:color w:val="000000"/>
          <w:sz w:val="24"/>
        </w:rPr>
        <w:t>2. Legacy Enterprise ERP Modules (SAP Sustainability / Oracle NetSuite): Major enterprise software vendors offer sustainability extensions built on top of their core transactional ERP engines. However, these systems are fundamentally inaccessible to mid-market enterprises. They require capital outlays exceeding $50,000 annually, necessitate six-to-twelve-month implementation cycles involving specialized external consultants, and feature notoriously rigid user interfaces with steep learning curves.</w:t>
      </w:r>
    </w:p>
    <w:p>
      <w:pPr>
        <w:spacing w:line="360" w:lineRule="auto" w:before="0" w:after="160"/>
        <w:jc w:val="both"/>
      </w:pPr>
      <w:r>
        <w:rPr>
          <w:color w:val="000000"/>
          <w:sz w:val="24"/>
        </w:rPr>
        <w:t>3. Isolated Point Solutions: Many organizations utilize single-purpose utilities—such as a dedicated utility bill scanning app or a localized waste management portal. Because these utilities lack automated API integration, environmental officers must spend substantial manual labor exporting CSVs, transforming columns, and re-importing data into master reports, creating severe administrative friction.</w:t>
      </w:r>
    </w:p>
    <w:p>
      <w:pPr>
        <w:spacing w:before="320" w:after="120"/>
        <w:jc w:val="both"/>
      </w:pPr>
      <w:r>
        <w:rPr>
          <w:b/>
          <w:color w:val="000000"/>
          <w:sz w:val="28"/>
        </w:rPr>
        <w:t>2.3 PROPOSED SYSTEM</w:t>
      </w:r>
    </w:p>
    <w:p>
      <w:pPr>
        <w:spacing w:line="360" w:lineRule="auto" w:before="0" w:after="160"/>
        <w:jc w:val="both"/>
      </w:pPr>
      <w:r>
        <w:rPr>
          <w:color w:val="000000"/>
          <w:sz w:val="24"/>
        </w:rPr>
        <w:t>To overcome the crippling disadvantages of existing options, this project introduces EcoTrack: a lightweight, cloud-native, connected ESG sustainability management platform engineered specifically for modern corporate agility. The proposed system incorporates four key architectural innovations:</w:t>
      </w:r>
    </w:p>
    <w:p>
      <w:pPr>
        <w:spacing w:line="360" w:lineRule="auto" w:before="0" w:after="160"/>
        <w:jc w:val="both"/>
      </w:pPr>
      <w:r>
        <w:rPr>
          <w:color w:val="000000"/>
          <w:sz w:val="24"/>
        </w:rPr>
        <w:t>• Real-Time Telemetry &amp; Automated Calculations: EcoTrack replaces manual spreadsheet conversions with an event-driven mathematical computation engine. When an operator logs an electrical or fuel consumption record, the system automatically converts units, computes GHG Scope 1/2/3 carbon emissions (tCO2e), and recalculates overall facility carbon intensity in sub-100 millisecond response times.</w:t>
      </w:r>
    </w:p>
    <w:p>
      <w:pPr>
        <w:spacing w:line="360" w:lineRule="auto" w:before="0" w:after="160"/>
        <w:jc w:val="both"/>
      </w:pPr>
      <w:r>
        <w:rPr>
          <w:color w:val="000000"/>
          <w:sz w:val="24"/>
        </w:rPr>
        <w:t>• Cloud Resilience &amp; Dual-Mode Architecture: Hosted on a distributed MongoDB Atlas cloud cluster (AWS Mumbai ap-south-1), EcoTrack incorporates Google Public DNS overrides (8.8.8.8) to eliminate DNS SRV resolution failures. The system features an automated fallback to embedded storage, guaranteeing continuous offline functionality during cloud network disruptions.</w:t>
      </w:r>
    </w:p>
    <w:p>
      <w:pPr>
        <w:spacing w:line="360" w:lineRule="auto" w:before="0" w:after="160"/>
        <w:jc w:val="both"/>
      </w:pPr>
      <w:r>
        <w:rPr>
          <w:color w:val="000000"/>
          <w:sz w:val="24"/>
        </w:rPr>
        <w:t>• Modern Reactive Dark Glassmorphism UI: Engineered with React 19, Vite, and Tailwind CSS v4, EcoTrack provides an ambient dark-mode interface featuring glass-panel blur effects, radiant glowing KPI cards, and interactive Recharts data visualizers designed to eliminate visual fatigue during extensive auditing.</w:t>
      </w:r>
    </w:p>
    <w:p>
      <w:pPr>
        <w:spacing w:line="360" w:lineRule="auto" w:before="0" w:after="160"/>
        <w:jc w:val="both"/>
      </w:pPr>
      <w:r>
        <w:rPr>
          <w:color w:val="000000"/>
          <w:sz w:val="24"/>
        </w:rPr>
        <w:t>• Compliance PDF Generation &amp; RBAC Security: EcoTrack provides an integrated PDFKit vector report generator that produces formal audit reports on demand. Access is strictly partitioned across four roles (Admin, Manager, Employee, Auditor) guarded by cryptographic bcrypt password encryption and JWT session tokens.</w:t>
      </w:r>
    </w:p>
    <w:p>
      <w:r>
        <w:br w:type="page"/>
      </w:r>
    </w:p>
    <w:p>
      <w:pPr>
        <w:spacing w:before="360" w:after="80"/>
        <w:jc w:val="center"/>
      </w:pPr>
      <w:r>
        <w:rPr>
          <w:b/>
          <w:color w:val="000000"/>
          <w:sz w:val="32"/>
        </w:rPr>
        <w:t>CHAPTER 3</w:t>
      </w:r>
    </w:p>
    <w:p>
      <w:pPr>
        <w:spacing w:before="0" w:after="360"/>
        <w:jc w:val="center"/>
      </w:pPr>
      <w:r>
        <w:rPr>
          <w:b/>
          <w:color w:val="000000"/>
          <w:sz w:val="30"/>
        </w:rPr>
        <w:t>SYSTEM ANALYSIS</w:t>
      </w:r>
    </w:p>
    <w:p>
      <w:pPr>
        <w:spacing w:line="360" w:lineRule="auto" w:before="0" w:after="160"/>
        <w:jc w:val="both"/>
      </w:pPr>
      <w:r>
        <w:rPr>
          <w:color w:val="000000"/>
          <w:sz w:val="24"/>
        </w:rPr>
        <w:t>This chapter deals with the system analysis of the EcoTrack platform, detailing the functional and non-functional requirements, and delineating the software and hardware environments necessary for development and production deployment.</w:t>
      </w:r>
    </w:p>
    <w:p>
      <w:pPr>
        <w:spacing w:before="320" w:after="120"/>
        <w:jc w:val="both"/>
      </w:pPr>
      <w:r>
        <w:rPr>
          <w:b/>
          <w:color w:val="000000"/>
          <w:sz w:val="28"/>
        </w:rPr>
        <w:t>3.1 SYSTEM REQUIREMENTS</w:t>
      </w:r>
    </w:p>
    <w:p>
      <w:pPr>
        <w:spacing w:line="360" w:lineRule="auto" w:before="0" w:after="160"/>
        <w:jc w:val="both"/>
      </w:pPr>
      <w:r>
        <w:rPr>
          <w:color w:val="000000"/>
          <w:sz w:val="24"/>
        </w:rPr>
        <w:t>System requirements analysis defines the essential operational capabilities, user behaviors, performance benchmarks, and security constraints demanded of the EcoTrack software system.</w:t>
      </w:r>
    </w:p>
    <w:p>
      <w:pPr>
        <w:spacing w:before="240" w:after="80"/>
        <w:jc w:val="both"/>
      </w:pPr>
      <w:r>
        <w:rPr>
          <w:b/>
          <w:color w:val="000000"/>
          <w:sz w:val="24"/>
        </w:rPr>
        <w:t>3.1.1 Functional Requirements</w:t>
      </w:r>
    </w:p>
    <w:p>
      <w:pPr>
        <w:spacing w:line="360" w:lineRule="auto" w:before="0" w:after="160"/>
        <w:jc w:val="both"/>
      </w:pPr>
      <w:r>
        <w:rPr>
          <w:color w:val="000000"/>
          <w:sz w:val="24"/>
        </w:rPr>
        <w:t>The platform fulfills the following verified functional requirements across its operational modules:</w:t>
      </w:r>
    </w:p>
    <w:p>
      <w:pPr>
        <w:spacing w:line="360" w:lineRule="auto" w:before="0" w:after="160"/>
        <w:jc w:val="both"/>
      </w:pPr>
      <w:r>
        <w:rPr>
          <w:color w:val="000000"/>
          <w:sz w:val="24"/>
        </w:rPr>
        <w:t>• FR-1: Authentication &amp; Access Control: The system must authenticate users via encrypted JSON Web Tokens (JWT) signed using HMAC-SHA256 with 7-day expiration. It must enforce Role-Based Access Control (RBAC) across four distinct roles: Admin, Manager, Employee, and Auditor, restricting operational routes based on user privileges.</w:t>
      </w:r>
    </w:p>
    <w:p>
      <w:pPr>
        <w:spacing w:line="360" w:lineRule="auto" w:before="0" w:after="160"/>
        <w:jc w:val="both"/>
      </w:pPr>
      <w:r>
        <w:rPr>
          <w:color w:val="000000"/>
          <w:sz w:val="24"/>
        </w:rPr>
        <w:t>• FR-2: Executive ESG Analytics Dashboard: The system must compute and render four high-level KPI cards (Total Energy in kWh, Carbon Footprint in tCO2e, Waste Diversion Rate %, Active Goals Count), a dynamic circular SVG Composite ESG Health Index gauge (0–100), and interactive Recharts time-series graphs displaying historical monthly consumption and emissions.</w:t>
      </w:r>
    </w:p>
    <w:p>
      <w:pPr>
        <w:spacing w:line="360" w:lineRule="auto" w:before="0" w:after="160"/>
        <w:jc w:val="both"/>
      </w:pPr>
      <w:r>
        <w:rPr>
          <w:color w:val="000000"/>
          <w:sz w:val="24"/>
        </w:rPr>
        <w:t>• FR-3: Multi-Facility Energy Ingestion: The system must provide complete CRUD (Create, Read, Update, Delete) forms for logging energy consumption across multiple facility sites and energy sources (Electricity, Natural Gas, Diesel, Solar, District Heating). The engine must support disparate measurement units (kWh, MWh, Therms, Gallons) and automatically normalize them to kilowatt-hours.</w:t>
      </w:r>
    </w:p>
    <w:p>
      <w:pPr>
        <w:spacing w:line="360" w:lineRule="auto" w:before="0" w:after="160"/>
        <w:jc w:val="both"/>
      </w:pPr>
      <w:r>
        <w:rPr>
          <w:color w:val="000000"/>
          <w:sz w:val="24"/>
        </w:rPr>
        <w:t>• FR-4: Greenhouse Gas Protocol Accounting: The system must categorize all corporate emissions into Scope 1 (Direct fuel combustion), Scope 2 (Purchased electricity), and Scope 3 (Value chain &amp; business travel). It must compute metric tons of carbon equivalent (tCO2e) based on recognized emission factors.</w:t>
      </w:r>
    </w:p>
    <w:p>
      <w:pPr>
        <w:spacing w:line="360" w:lineRule="auto" w:before="0" w:after="160"/>
        <w:jc w:val="both"/>
      </w:pPr>
      <w:r>
        <w:rPr>
          <w:color w:val="000000"/>
          <w:sz w:val="24"/>
        </w:rPr>
        <w:t>• FR-5: Waste Stream &amp; Circularity Tracking: The system must manage solid, hazardous, compost, and electronic waste records across multiple disposal methodologies (Recycled, Landfill, Composted, Incinerated). It must compute live diversion and recycling percentages.</w:t>
      </w:r>
    </w:p>
    <w:p>
      <w:pPr>
        <w:spacing w:line="360" w:lineRule="auto" w:before="0" w:after="160"/>
        <w:jc w:val="both"/>
      </w:pPr>
      <w:r>
        <w:rPr>
          <w:color w:val="000000"/>
          <w:sz w:val="24"/>
        </w:rPr>
        <w:t>• FR-6: ESG Metric Normalization: The system must calculate and track historical Environmental, Social, and Governance dimension scores, producing a normalized composite index rating.</w:t>
      </w:r>
    </w:p>
    <w:p>
      <w:pPr>
        <w:spacing w:line="360" w:lineRule="auto" w:before="0" w:after="160"/>
        <w:jc w:val="both"/>
      </w:pPr>
      <w:r>
        <w:rPr>
          <w:color w:val="000000"/>
          <w:sz w:val="24"/>
        </w:rPr>
        <w:t>• FR-7: Sustainability Goals Monitoring: The system must track long-term net-zero goals, calculating target completion percentages, trajectory status (On Track, Behind, Achieved), and target baseline years.</w:t>
      </w:r>
    </w:p>
    <w:p>
      <w:pPr>
        <w:spacing w:line="360" w:lineRule="auto" w:before="0" w:after="160"/>
        <w:jc w:val="both"/>
      </w:pPr>
      <w:r>
        <w:rPr>
          <w:color w:val="000000"/>
          <w:sz w:val="24"/>
        </w:rPr>
        <w:t>• FR-8: Vector Compliance PDF Generation: The system must compile organization-wide sustainability records into structured vector PDF reports using PDFKit for official statutory filings.</w:t>
      </w:r>
    </w:p>
    <w:p>
      <w:pPr>
        <w:spacing w:line="360" w:lineRule="auto" w:before="0" w:after="160"/>
        <w:jc w:val="both"/>
      </w:pPr>
      <w:r>
        <w:rPr>
          <w:color w:val="000000"/>
          <w:sz w:val="24"/>
        </w:rPr>
        <w:t>• FR-9: Clean Multi-Parameter Filtering: The system must sanitize URL search parameters before querying the database, enabling flawless multi-variable filtering by facility, energy type, and date range without 'undefined' string pollution.</w:t>
      </w:r>
    </w:p>
    <w:p>
      <w:pPr>
        <w:spacing w:line="360" w:lineRule="auto" w:before="0" w:after="160"/>
        <w:jc w:val="both"/>
      </w:pPr>
      <w:r>
        <w:rPr>
          <w:color w:val="000000"/>
          <w:sz w:val="24"/>
        </w:rPr>
        <w:t>• FR-10: Database Health &amp; Synchronization Diagnostics: The system must continuously monitor MongoDB Atlas connection health, reporting cluster latency, active database names, and host shard identifiers via an interactive settings workbench.</w:t>
      </w:r>
    </w:p>
    <w:p>
      <w:pPr>
        <w:spacing w:before="240" w:after="80"/>
        <w:jc w:val="both"/>
      </w:pPr>
      <w:r>
        <w:rPr>
          <w:b/>
          <w:color w:val="000000"/>
          <w:sz w:val="24"/>
        </w:rPr>
        <w:t>3.1.2 Non-Functional Requirements</w:t>
      </w:r>
    </w:p>
    <w:p>
      <w:pPr>
        <w:spacing w:line="360" w:lineRule="auto" w:before="0" w:after="160"/>
        <w:jc w:val="both"/>
      </w:pPr>
      <w:r>
        <w:rPr>
          <w:color w:val="000000"/>
          <w:sz w:val="24"/>
        </w:rPr>
        <w:t>The system enforces rigorous non-functional engineering standards:</w:t>
      </w:r>
    </w:p>
    <w:p>
      <w:pPr>
        <w:spacing w:line="360" w:lineRule="auto" w:before="0" w:after="160"/>
        <w:jc w:val="both"/>
      </w:pPr>
      <w:r>
        <w:rPr>
          <w:color w:val="000000"/>
          <w:sz w:val="24"/>
        </w:rPr>
        <w:t>• NFR-1: Performance &amp; Response Latency: All read endpoints must respond in under 100 milliseconds under standard concurrency. Cross-module data ingestion transactions must complete within 150 milliseconds. The frontend Single Page Application must load in under 1.5 seconds.</w:t>
      </w:r>
    </w:p>
    <w:p>
      <w:pPr>
        <w:spacing w:line="360" w:lineRule="auto" w:before="0" w:after="160"/>
        <w:jc w:val="both"/>
      </w:pPr>
      <w:r>
        <w:rPr>
          <w:color w:val="000000"/>
          <w:sz w:val="24"/>
        </w:rPr>
        <w:t>• NFR-2: High Availability &amp; Resilient Connectivity: The database tier must connect to MongoDB Atlas cloud clusters across a 3-node replica set with automatic DNS failover, guaranteeing 99.9% uptime. If cloud networks are disrupted, the embedded engine must ensure uninterrupted offline operation.</w:t>
      </w:r>
    </w:p>
    <w:p>
      <w:pPr>
        <w:spacing w:line="360" w:lineRule="auto" w:before="0" w:after="160"/>
        <w:jc w:val="both"/>
      </w:pPr>
      <w:r>
        <w:rPr>
          <w:color w:val="000000"/>
          <w:sz w:val="24"/>
        </w:rPr>
        <w:t>• NFR-3: Cryptographic Security &amp; Privacy: Passwords must be hashed using bcrypt with 10 salt rounds. API endpoints must enforce CORS origin policies, rate limiting, and Bearer token verification. Sensitive connection strings must be isolated in encrypted environment variables.</w:t>
      </w:r>
    </w:p>
    <w:p>
      <w:pPr>
        <w:spacing w:line="360" w:lineRule="auto" w:before="0" w:after="160"/>
        <w:jc w:val="both"/>
      </w:pPr>
      <w:r>
        <w:rPr>
          <w:color w:val="000000"/>
          <w:sz w:val="24"/>
        </w:rPr>
        <w:t>• NFR-4: Scalability &amp; Modularity: The architecture must follow a 3-tier modular design pattern separating Presentation, REST Routing, Business Logic, and Data Access Layer (DAL) to facilitate independent scaling.</w:t>
      </w:r>
    </w:p>
    <w:p>
      <w:pPr>
        <w:spacing w:line="360" w:lineRule="auto" w:before="0" w:after="160"/>
        <w:jc w:val="both"/>
      </w:pPr>
      <w:r>
        <w:rPr>
          <w:color w:val="000000"/>
          <w:sz w:val="24"/>
        </w:rPr>
        <w:t>• NFR-5: Accessibility &amp; Visual Ergonomics: The user interface must feature a high-contrast dark theme (#07051a background) with glassmorphic cards, gradient KPI accents, and accessible ARIA attributes, conforming to WCAG 2.1 AA standards.</w:t>
      </w:r>
    </w:p>
    <w:p>
      <w:pPr>
        <w:spacing w:before="320" w:after="120"/>
        <w:jc w:val="both"/>
      </w:pPr>
      <w:r>
        <w:rPr>
          <w:b/>
          <w:color w:val="000000"/>
          <w:sz w:val="28"/>
        </w:rPr>
        <w:t>3.2 SOFTWARE AND HARDWARE REQUIREMENTS</w:t>
      </w:r>
    </w:p>
    <w:p>
      <w:pPr>
        <w:spacing w:line="360" w:lineRule="auto" w:before="0" w:after="160"/>
        <w:jc w:val="both"/>
      </w:pPr>
      <w:r>
        <w:rPr>
          <w:color w:val="000000"/>
          <w:sz w:val="24"/>
        </w:rPr>
        <w:t>To ensure reliable development, automated testing, and highly available cloud hosting, the software and hardware environments are detailed in Tables 3.1 and 3.2.</w:t>
      </w:r>
    </w:p>
    <w:p>
      <w:pPr>
        <w:spacing w:before="160" w:after="80"/>
        <w:jc w:val="center"/>
      </w:pPr>
      <w:r>
        <w:rPr>
          <w:b/>
          <w:color w:val="000000"/>
          <w:sz w:val="22"/>
        </w:rPr>
        <w:t>Table 3.1: Minimum Software Requirements for Development and Production Hosting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E2E8F0"/>
          </w:tcPr>
          <w:p>
            <w:r>
              <w:rPr>
                <w:b/>
                <w:color w:val="000000"/>
                <w:sz w:val="20"/>
              </w:rPr>
              <w:t>Software Layer</w:t>
            </w:r>
          </w:p>
        </w:tc>
        <w:tc>
          <w:tcPr>
            <w:tcW w:type="dxa" w:w="2592"/>
            <w:shd w:val="clear" w:color="auto" w:fill="E2E8F0"/>
          </w:tcPr>
          <w:p>
            <w:r>
              <w:rPr>
                <w:b/>
                <w:color w:val="000000"/>
                <w:sz w:val="20"/>
              </w:rPr>
              <w:t>Component / Technology</w:t>
            </w:r>
          </w:p>
        </w:tc>
        <w:tc>
          <w:tcPr>
            <w:tcW w:type="dxa" w:w="2016"/>
            <w:shd w:val="clear" w:color="auto" w:fill="E2E8F0"/>
          </w:tcPr>
          <w:p>
            <w:r>
              <w:rPr>
                <w:b/>
                <w:color w:val="000000"/>
                <w:sz w:val="20"/>
              </w:rPr>
              <w:t>Version / Spec</w:t>
            </w:r>
          </w:p>
        </w:tc>
        <w:tc>
          <w:tcPr>
            <w:tcW w:type="dxa" w:w="3024"/>
            <w:shd w:val="clear" w:color="auto" w:fill="E2E8F0"/>
          </w:tcPr>
          <w:p>
            <w:r>
              <w:rPr>
                <w:b/>
                <w:color w:val="000000"/>
                <w:sz w:val="20"/>
              </w:rPr>
              <w:t>Role in EcoTrack Platform</w:t>
            </w:r>
          </w:p>
        </w:tc>
      </w:tr>
      <w:tr>
        <w:tc>
          <w:tcPr>
            <w:tcW w:type="dxa" w:w="2160"/>
          </w:tcPr>
          <w:p>
            <w:r>
              <w:rPr>
                <w:color w:val="000000"/>
                <w:sz w:val="19"/>
              </w:rPr>
              <w:t>Operating System</w:t>
            </w:r>
          </w:p>
        </w:tc>
        <w:tc>
          <w:tcPr>
            <w:tcW w:type="dxa" w:w="2592"/>
          </w:tcPr>
          <w:p>
            <w:r>
              <w:rPr>
                <w:color w:val="000000"/>
                <w:sz w:val="19"/>
              </w:rPr>
              <w:t>Microsoft Windows 11 / Ubuntu Linux</w:t>
            </w:r>
          </w:p>
        </w:tc>
        <w:tc>
          <w:tcPr>
            <w:tcW w:type="dxa" w:w="2016"/>
          </w:tcPr>
          <w:p>
            <w:r>
              <w:rPr>
                <w:color w:val="000000"/>
                <w:sz w:val="19"/>
              </w:rPr>
              <w:t>64-bit OS</w:t>
            </w:r>
          </w:p>
        </w:tc>
        <w:tc>
          <w:tcPr>
            <w:tcW w:type="dxa" w:w="3024"/>
          </w:tcPr>
          <w:p>
            <w:r>
              <w:rPr>
                <w:color w:val="000000"/>
                <w:sz w:val="19"/>
              </w:rPr>
              <w:t>Host operating system for server &amp; client</w:t>
            </w:r>
          </w:p>
        </w:tc>
      </w:tr>
      <w:tr>
        <w:tc>
          <w:tcPr>
            <w:tcW w:type="dxa" w:w="2160"/>
          </w:tcPr>
          <w:p>
            <w:r>
              <w:rPr>
                <w:color w:val="000000"/>
                <w:sz w:val="19"/>
              </w:rPr>
              <w:t>Runtime Engine</w:t>
            </w:r>
          </w:p>
        </w:tc>
        <w:tc>
          <w:tcPr>
            <w:tcW w:type="dxa" w:w="2592"/>
          </w:tcPr>
          <w:p>
            <w:r>
              <w:rPr>
                <w:color w:val="000000"/>
                <w:sz w:val="19"/>
              </w:rPr>
              <w:t>Node.js LTS</w:t>
            </w:r>
          </w:p>
        </w:tc>
        <w:tc>
          <w:tcPr>
            <w:tcW w:type="dxa" w:w="2016"/>
          </w:tcPr>
          <w:p>
            <w:r>
              <w:rPr>
                <w:color w:val="000000"/>
                <w:sz w:val="19"/>
              </w:rPr>
              <w:t>v20.x or v22.x LTS</w:t>
            </w:r>
          </w:p>
        </w:tc>
        <w:tc>
          <w:tcPr>
            <w:tcW w:type="dxa" w:w="3024"/>
          </w:tcPr>
          <w:p>
            <w:r>
              <w:rPr>
                <w:color w:val="000000"/>
                <w:sz w:val="19"/>
              </w:rPr>
              <w:t>Asynchronous JavaScript backend execution engine</w:t>
            </w:r>
          </w:p>
        </w:tc>
      </w:tr>
      <w:tr>
        <w:tc>
          <w:tcPr>
            <w:tcW w:type="dxa" w:w="2160"/>
          </w:tcPr>
          <w:p>
            <w:r>
              <w:rPr>
                <w:color w:val="000000"/>
                <w:sz w:val="19"/>
              </w:rPr>
              <w:t>Programming Language</w:t>
            </w:r>
          </w:p>
        </w:tc>
        <w:tc>
          <w:tcPr>
            <w:tcW w:type="dxa" w:w="2592"/>
          </w:tcPr>
          <w:p>
            <w:r>
              <w:rPr>
                <w:color w:val="000000"/>
                <w:sz w:val="19"/>
              </w:rPr>
              <w:t>TypeScript &amp; JavaScript (ES2022)</w:t>
            </w:r>
          </w:p>
        </w:tc>
        <w:tc>
          <w:tcPr>
            <w:tcW w:type="dxa" w:w="2016"/>
          </w:tcPr>
          <w:p>
            <w:r>
              <w:rPr>
                <w:color w:val="000000"/>
                <w:sz w:val="19"/>
              </w:rPr>
              <w:t>TypeScript 5.x</w:t>
            </w:r>
          </w:p>
        </w:tc>
        <w:tc>
          <w:tcPr>
            <w:tcW w:type="dxa" w:w="3024"/>
          </w:tcPr>
          <w:p>
            <w:r>
              <w:rPr>
                <w:color w:val="000000"/>
                <w:sz w:val="19"/>
              </w:rPr>
              <w:t>Type-safe fullstack engineering across client and server</w:t>
            </w:r>
          </w:p>
        </w:tc>
      </w:tr>
      <w:tr>
        <w:tc>
          <w:tcPr>
            <w:tcW w:type="dxa" w:w="2160"/>
          </w:tcPr>
          <w:p>
            <w:r>
              <w:rPr>
                <w:color w:val="000000"/>
                <w:sz w:val="19"/>
              </w:rPr>
              <w:t>Frontend Framework</w:t>
            </w:r>
          </w:p>
        </w:tc>
        <w:tc>
          <w:tcPr>
            <w:tcW w:type="dxa" w:w="2592"/>
          </w:tcPr>
          <w:p>
            <w:r>
              <w:rPr>
                <w:color w:val="000000"/>
                <w:sz w:val="19"/>
              </w:rPr>
              <w:t>React 19 &amp; Vite</w:t>
            </w:r>
          </w:p>
        </w:tc>
        <w:tc>
          <w:tcPr>
            <w:tcW w:type="dxa" w:w="2016"/>
          </w:tcPr>
          <w:p>
            <w:r>
              <w:rPr>
                <w:color w:val="000000"/>
                <w:sz w:val="19"/>
              </w:rPr>
              <w:t>React 19.0.1 / Vite 8.3</w:t>
            </w:r>
          </w:p>
        </w:tc>
        <w:tc>
          <w:tcPr>
            <w:tcW w:type="dxa" w:w="3024"/>
          </w:tcPr>
          <w:p>
            <w:r>
              <w:rPr>
                <w:color w:val="000000"/>
                <w:sz w:val="19"/>
              </w:rPr>
              <w:t>Reactive UI rendering with sub-second hot module reload</w:t>
            </w:r>
          </w:p>
        </w:tc>
      </w:tr>
      <w:tr>
        <w:tc>
          <w:tcPr>
            <w:tcW w:type="dxa" w:w="2160"/>
          </w:tcPr>
          <w:p>
            <w:r>
              <w:rPr>
                <w:color w:val="000000"/>
                <w:sz w:val="19"/>
              </w:rPr>
              <w:t>Styling Engine</w:t>
            </w:r>
          </w:p>
        </w:tc>
        <w:tc>
          <w:tcPr>
            <w:tcW w:type="dxa" w:w="2592"/>
          </w:tcPr>
          <w:p>
            <w:r>
              <w:rPr>
                <w:color w:val="000000"/>
                <w:sz w:val="19"/>
              </w:rPr>
              <w:t>Tailwind CSS</w:t>
            </w:r>
          </w:p>
        </w:tc>
        <w:tc>
          <w:tcPr>
            <w:tcW w:type="dxa" w:w="2016"/>
          </w:tcPr>
          <w:p>
            <w:r>
              <w:rPr>
                <w:color w:val="000000"/>
                <w:sz w:val="19"/>
              </w:rPr>
              <w:t>v4.3.3</w:t>
            </w:r>
          </w:p>
        </w:tc>
        <w:tc>
          <w:tcPr>
            <w:tcW w:type="dxa" w:w="3024"/>
          </w:tcPr>
          <w:p>
            <w:r>
              <w:rPr>
                <w:color w:val="000000"/>
                <w:sz w:val="19"/>
              </w:rPr>
              <w:t>Utility-first glassmorphism design system</w:t>
            </w:r>
          </w:p>
        </w:tc>
      </w:tr>
      <w:tr>
        <w:tc>
          <w:tcPr>
            <w:tcW w:type="dxa" w:w="2160"/>
          </w:tcPr>
          <w:p>
            <w:r>
              <w:rPr>
                <w:color w:val="000000"/>
                <w:sz w:val="19"/>
              </w:rPr>
              <w:t>Backend Web Server</w:t>
            </w:r>
          </w:p>
        </w:tc>
        <w:tc>
          <w:tcPr>
            <w:tcW w:type="dxa" w:w="2592"/>
          </w:tcPr>
          <w:p>
            <w:r>
              <w:rPr>
                <w:color w:val="000000"/>
                <w:sz w:val="19"/>
              </w:rPr>
              <w:t>Express.js</w:t>
            </w:r>
          </w:p>
        </w:tc>
        <w:tc>
          <w:tcPr>
            <w:tcW w:type="dxa" w:w="2016"/>
          </w:tcPr>
          <w:p>
            <w:r>
              <w:rPr>
                <w:color w:val="000000"/>
                <w:sz w:val="19"/>
              </w:rPr>
              <w:t>v4.21.2</w:t>
            </w:r>
          </w:p>
        </w:tc>
        <w:tc>
          <w:tcPr>
            <w:tcW w:type="dxa" w:w="3024"/>
          </w:tcPr>
          <w:p>
            <w:r>
              <w:rPr>
                <w:color w:val="000000"/>
                <w:sz w:val="19"/>
              </w:rPr>
              <w:t>RESTful API routing, middleware, and controllers</w:t>
            </w:r>
          </w:p>
        </w:tc>
      </w:tr>
      <w:tr>
        <w:tc>
          <w:tcPr>
            <w:tcW w:type="dxa" w:w="2160"/>
          </w:tcPr>
          <w:p>
            <w:r>
              <w:rPr>
                <w:color w:val="000000"/>
                <w:sz w:val="19"/>
              </w:rPr>
              <w:t>Database ODM</w:t>
            </w:r>
          </w:p>
        </w:tc>
        <w:tc>
          <w:tcPr>
            <w:tcW w:type="dxa" w:w="2592"/>
          </w:tcPr>
          <w:p>
            <w:r>
              <w:rPr>
                <w:color w:val="000000"/>
                <w:sz w:val="19"/>
              </w:rPr>
              <w:t>Mongoose</w:t>
            </w:r>
          </w:p>
        </w:tc>
        <w:tc>
          <w:tcPr>
            <w:tcW w:type="dxa" w:w="2016"/>
          </w:tcPr>
          <w:p>
            <w:r>
              <w:rPr>
                <w:color w:val="000000"/>
                <w:sz w:val="19"/>
              </w:rPr>
              <w:t>v9.11.2</w:t>
            </w:r>
          </w:p>
        </w:tc>
        <w:tc>
          <w:tcPr>
            <w:tcW w:type="dxa" w:w="3024"/>
          </w:tcPr>
          <w:p>
            <w:r>
              <w:rPr>
                <w:color w:val="000000"/>
                <w:sz w:val="19"/>
              </w:rPr>
              <w:t>Schema modeling, data validation, and query execution</w:t>
            </w:r>
          </w:p>
        </w:tc>
      </w:tr>
      <w:tr>
        <w:tc>
          <w:tcPr>
            <w:tcW w:type="dxa" w:w="2160"/>
          </w:tcPr>
          <w:p>
            <w:r>
              <w:rPr>
                <w:color w:val="000000"/>
                <w:sz w:val="19"/>
              </w:rPr>
              <w:t>Cloud Database</w:t>
            </w:r>
          </w:p>
        </w:tc>
        <w:tc>
          <w:tcPr>
            <w:tcW w:type="dxa" w:w="2592"/>
          </w:tcPr>
          <w:p>
            <w:r>
              <w:rPr>
                <w:color w:val="000000"/>
                <w:sz w:val="19"/>
              </w:rPr>
              <w:t>MongoDB Atlas</w:t>
            </w:r>
          </w:p>
        </w:tc>
        <w:tc>
          <w:tcPr>
            <w:tcW w:type="dxa" w:w="2016"/>
          </w:tcPr>
          <w:p>
            <w:r>
              <w:rPr>
                <w:color w:val="000000"/>
                <w:sz w:val="19"/>
              </w:rPr>
              <w:t>AWS Mumbai ap-south-1 M0</w:t>
            </w:r>
          </w:p>
        </w:tc>
        <w:tc>
          <w:tcPr>
            <w:tcW w:type="dxa" w:w="3024"/>
          </w:tcPr>
          <w:p>
            <w:r>
              <w:rPr>
                <w:color w:val="000000"/>
                <w:sz w:val="19"/>
              </w:rPr>
              <w:t>Managed NoSQL JSON document cloud storage</w:t>
            </w:r>
          </w:p>
        </w:tc>
      </w:tr>
      <w:tr>
        <w:tc>
          <w:tcPr>
            <w:tcW w:type="dxa" w:w="2160"/>
          </w:tcPr>
          <w:p>
            <w:r>
              <w:rPr>
                <w:color w:val="000000"/>
                <w:sz w:val="19"/>
              </w:rPr>
              <w:t>Data Visualization</w:t>
            </w:r>
          </w:p>
        </w:tc>
        <w:tc>
          <w:tcPr>
            <w:tcW w:type="dxa" w:w="2592"/>
          </w:tcPr>
          <w:p>
            <w:r>
              <w:rPr>
                <w:color w:val="000000"/>
                <w:sz w:val="19"/>
              </w:rPr>
              <w:t>Recharts &amp; Lucide React</w:t>
            </w:r>
          </w:p>
        </w:tc>
        <w:tc>
          <w:tcPr>
            <w:tcW w:type="dxa" w:w="2016"/>
          </w:tcPr>
          <w:p>
            <w:r>
              <w:rPr>
                <w:color w:val="000000"/>
                <w:sz w:val="19"/>
              </w:rPr>
              <w:t>Recharts 3.10.1</w:t>
            </w:r>
          </w:p>
        </w:tc>
        <w:tc>
          <w:tcPr>
            <w:tcW w:type="dxa" w:w="3024"/>
          </w:tcPr>
          <w:p>
            <w:r>
              <w:rPr>
                <w:color w:val="000000"/>
                <w:sz w:val="19"/>
              </w:rPr>
              <w:t>Interactive SVG area, bar, and pie charts</w:t>
            </w:r>
          </w:p>
        </w:tc>
      </w:tr>
      <w:tr>
        <w:tc>
          <w:tcPr>
            <w:tcW w:type="dxa" w:w="2160"/>
          </w:tcPr>
          <w:p>
            <w:r>
              <w:rPr>
                <w:color w:val="000000"/>
                <w:sz w:val="19"/>
              </w:rPr>
              <w:t>Document Generation</w:t>
            </w:r>
          </w:p>
        </w:tc>
        <w:tc>
          <w:tcPr>
            <w:tcW w:type="dxa" w:w="2592"/>
          </w:tcPr>
          <w:p>
            <w:r>
              <w:rPr>
                <w:color w:val="000000"/>
                <w:sz w:val="19"/>
              </w:rPr>
              <w:t>PDFKit</w:t>
            </w:r>
          </w:p>
        </w:tc>
        <w:tc>
          <w:tcPr>
            <w:tcW w:type="dxa" w:w="2016"/>
          </w:tcPr>
          <w:p>
            <w:r>
              <w:rPr>
                <w:color w:val="000000"/>
                <w:sz w:val="19"/>
              </w:rPr>
              <w:t>v0.20.2</w:t>
            </w:r>
          </w:p>
        </w:tc>
        <w:tc>
          <w:tcPr>
            <w:tcW w:type="dxa" w:w="3024"/>
          </w:tcPr>
          <w:p>
            <w:r>
              <w:rPr>
                <w:color w:val="000000"/>
                <w:sz w:val="19"/>
              </w:rPr>
              <w:t>Server-side vector PDF generation engine</w:t>
            </w:r>
          </w:p>
        </w:tc>
      </w:tr>
      <w:tr>
        <w:tc>
          <w:tcPr>
            <w:tcW w:type="dxa" w:w="2160"/>
          </w:tcPr>
          <w:p>
            <w:r>
              <w:rPr>
                <w:color w:val="000000"/>
                <w:sz w:val="19"/>
              </w:rPr>
              <w:t>Security &amp; Auth</w:t>
            </w:r>
          </w:p>
        </w:tc>
        <w:tc>
          <w:tcPr>
            <w:tcW w:type="dxa" w:w="2592"/>
          </w:tcPr>
          <w:p>
            <w:r>
              <w:rPr>
                <w:color w:val="000000"/>
                <w:sz w:val="19"/>
              </w:rPr>
              <w:t>JSON Web Token &amp; Bcrypt</w:t>
            </w:r>
          </w:p>
        </w:tc>
        <w:tc>
          <w:tcPr>
            <w:tcW w:type="dxa" w:w="2016"/>
          </w:tcPr>
          <w:p>
            <w:r>
              <w:rPr>
                <w:color w:val="000000"/>
                <w:sz w:val="19"/>
              </w:rPr>
              <w:t>jsonwebtoken 9.0, bcryptjs 3.0</w:t>
            </w:r>
          </w:p>
        </w:tc>
        <w:tc>
          <w:tcPr>
            <w:tcW w:type="dxa" w:w="3024"/>
          </w:tcPr>
          <w:p>
            <w:r>
              <w:rPr>
                <w:color w:val="000000"/>
                <w:sz w:val="19"/>
              </w:rPr>
              <w:t>HMAC-SHA256 session tokens &amp; password hashing</w:t>
            </w:r>
          </w:p>
        </w:tc>
      </w:tr>
    </w:tbl>
    <w:p>
      <w:pPr>
        <w:spacing w:before="320" w:after="80"/>
        <w:jc w:val="center"/>
      </w:pPr>
      <w:r>
        <w:rPr>
          <w:b/>
          <w:color w:val="000000"/>
          <w:sz w:val="22"/>
        </w:rPr>
        <w:t>Table 3.2: Minimum and Recommended Hardware Specifications</w:t>
      </w:r>
    </w:p>
    <w:tbl>
      <w:tblPr>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E2E8F0"/>
          </w:tcPr>
          <w:p>
            <w:r>
              <w:rPr>
                <w:b/>
                <w:color w:val="000000"/>
                <w:sz w:val="20"/>
              </w:rPr>
              <w:t>Hardware Component</w:t>
            </w:r>
          </w:p>
        </w:tc>
        <w:tc>
          <w:tcPr>
            <w:tcW w:type="dxa" w:w="3456"/>
            <w:shd w:val="clear" w:color="auto" w:fill="E2E8F0"/>
          </w:tcPr>
          <w:p>
            <w:r>
              <w:rPr>
                <w:b/>
                <w:color w:val="000000"/>
                <w:sz w:val="20"/>
              </w:rPr>
              <w:t>Minimum Development Spec</w:t>
            </w:r>
          </w:p>
        </w:tc>
        <w:tc>
          <w:tcPr>
            <w:tcW w:type="dxa" w:w="3456"/>
            <w:shd w:val="clear" w:color="auto" w:fill="E2E8F0"/>
          </w:tcPr>
          <w:p>
            <w:r>
              <w:rPr>
                <w:b/>
                <w:color w:val="000000"/>
                <w:sz w:val="20"/>
              </w:rPr>
              <w:t>Recommended Production Target</w:t>
            </w:r>
          </w:p>
        </w:tc>
      </w:tr>
      <w:tr>
        <w:tc>
          <w:tcPr>
            <w:tcW w:type="dxa" w:w="2880"/>
          </w:tcPr>
          <w:p>
            <w:r>
              <w:rPr>
                <w:color w:val="000000"/>
                <w:sz w:val="19"/>
              </w:rPr>
              <w:t>Host Processor (CPU)</w:t>
            </w:r>
          </w:p>
        </w:tc>
        <w:tc>
          <w:tcPr>
            <w:tcW w:type="dxa" w:w="3456"/>
          </w:tcPr>
          <w:p>
            <w:r>
              <w:rPr>
                <w:color w:val="000000"/>
                <w:sz w:val="19"/>
              </w:rPr>
              <w:t>Intel Core i3 / AMD Ryzen 3 (Dual-Core, 2.0 GHz)</w:t>
            </w:r>
          </w:p>
        </w:tc>
        <w:tc>
          <w:tcPr>
            <w:tcW w:type="dxa" w:w="3456"/>
          </w:tcPr>
          <w:p>
            <w:r>
              <w:rPr>
                <w:color w:val="000000"/>
                <w:sz w:val="19"/>
              </w:rPr>
              <w:t>Intel Core i7 / AMD Ryzen 7 (8 Cores, 3.8 GHz)</w:t>
            </w:r>
          </w:p>
        </w:tc>
      </w:tr>
      <w:tr>
        <w:tc>
          <w:tcPr>
            <w:tcW w:type="dxa" w:w="2880"/>
          </w:tcPr>
          <w:p>
            <w:r>
              <w:rPr>
                <w:color w:val="000000"/>
                <w:sz w:val="19"/>
              </w:rPr>
              <w:t>System Memory (RAM)</w:t>
            </w:r>
          </w:p>
        </w:tc>
        <w:tc>
          <w:tcPr>
            <w:tcW w:type="dxa" w:w="3456"/>
          </w:tcPr>
          <w:p>
            <w:r>
              <w:rPr>
                <w:color w:val="000000"/>
                <w:sz w:val="19"/>
              </w:rPr>
              <w:t>4 GB DDR4 RAM</w:t>
            </w:r>
          </w:p>
        </w:tc>
        <w:tc>
          <w:tcPr>
            <w:tcW w:type="dxa" w:w="3456"/>
          </w:tcPr>
          <w:p>
            <w:r>
              <w:rPr>
                <w:color w:val="000000"/>
                <w:sz w:val="19"/>
              </w:rPr>
              <w:t>16 GB to 32 GB DDR4/DDR5 RAM</w:t>
            </w:r>
          </w:p>
        </w:tc>
      </w:tr>
      <w:tr>
        <w:tc>
          <w:tcPr>
            <w:tcW w:type="dxa" w:w="2880"/>
          </w:tcPr>
          <w:p>
            <w:r>
              <w:rPr>
                <w:color w:val="000000"/>
                <w:sz w:val="19"/>
              </w:rPr>
              <w:t>Persistent Storage</w:t>
            </w:r>
          </w:p>
        </w:tc>
        <w:tc>
          <w:tcPr>
            <w:tcW w:type="dxa" w:w="3456"/>
          </w:tcPr>
          <w:p>
            <w:r>
              <w:rPr>
                <w:color w:val="000000"/>
                <w:sz w:val="19"/>
              </w:rPr>
              <w:t>256 GB SATA SSD (1 GB free space)</w:t>
            </w:r>
          </w:p>
        </w:tc>
        <w:tc>
          <w:tcPr>
            <w:tcW w:type="dxa" w:w="3456"/>
          </w:tcPr>
          <w:p>
            <w:r>
              <w:rPr>
                <w:color w:val="000000"/>
                <w:sz w:val="19"/>
              </w:rPr>
              <w:t>512 GB NVMe M.2 SSD (High IOPS throughput)</w:t>
            </w:r>
          </w:p>
        </w:tc>
      </w:tr>
      <w:tr>
        <w:tc>
          <w:tcPr>
            <w:tcW w:type="dxa" w:w="2880"/>
          </w:tcPr>
          <w:p>
            <w:r>
              <w:rPr>
                <w:color w:val="000000"/>
                <w:sz w:val="19"/>
              </w:rPr>
              <w:t>Network Connectivity</w:t>
            </w:r>
          </w:p>
        </w:tc>
        <w:tc>
          <w:tcPr>
            <w:tcW w:type="dxa" w:w="3456"/>
          </w:tcPr>
          <w:p>
            <w:r>
              <w:rPr>
                <w:color w:val="000000"/>
                <w:sz w:val="19"/>
              </w:rPr>
              <w:t>Broadband connection (5 Mbps)</w:t>
            </w:r>
          </w:p>
        </w:tc>
        <w:tc>
          <w:tcPr>
            <w:tcW w:type="dxa" w:w="3456"/>
          </w:tcPr>
          <w:p>
            <w:r>
              <w:rPr>
                <w:color w:val="000000"/>
                <w:sz w:val="19"/>
              </w:rPr>
              <w:t>High-speed dedicated link (100 Mbps, low latency)</w:t>
            </w:r>
          </w:p>
        </w:tc>
      </w:tr>
      <w:tr>
        <w:tc>
          <w:tcPr>
            <w:tcW w:type="dxa" w:w="2880"/>
          </w:tcPr>
          <w:p>
            <w:r>
              <w:rPr>
                <w:color w:val="000000"/>
                <w:sz w:val="19"/>
              </w:rPr>
              <w:t>Display Resolution</w:t>
            </w:r>
          </w:p>
        </w:tc>
        <w:tc>
          <w:tcPr>
            <w:tcW w:type="dxa" w:w="3456"/>
          </w:tcPr>
          <w:p>
            <w:r>
              <w:rPr>
                <w:color w:val="000000"/>
                <w:sz w:val="19"/>
              </w:rPr>
              <w:t>1366 x 768 WXGA Standard</w:t>
            </w:r>
          </w:p>
        </w:tc>
        <w:tc>
          <w:tcPr>
            <w:tcW w:type="dxa" w:w="3456"/>
          </w:tcPr>
          <w:p>
            <w:r>
              <w:rPr>
                <w:color w:val="000000"/>
                <w:sz w:val="19"/>
              </w:rPr>
              <w:t>1920 x 1080 Full HD IPS Display</w:t>
            </w:r>
          </w:p>
        </w:tc>
      </w:tr>
      <w:tr>
        <w:tc>
          <w:tcPr>
            <w:tcW w:type="dxa" w:w="2880"/>
          </w:tcPr>
          <w:p>
            <w:r>
              <w:rPr>
                <w:color w:val="000000"/>
                <w:sz w:val="19"/>
              </w:rPr>
              <w:t>Cloud Database Cluster</w:t>
            </w:r>
          </w:p>
        </w:tc>
        <w:tc>
          <w:tcPr>
            <w:tcW w:type="dxa" w:w="3456"/>
          </w:tcPr>
          <w:p>
            <w:r>
              <w:rPr>
                <w:color w:val="000000"/>
                <w:sz w:val="19"/>
              </w:rPr>
              <w:t>Shared M0 Sandbox (512 MB Storage)</w:t>
            </w:r>
          </w:p>
        </w:tc>
        <w:tc>
          <w:tcPr>
            <w:tcW w:type="dxa" w:w="3456"/>
          </w:tcPr>
          <w:p>
            <w:r>
              <w:rPr>
                <w:color w:val="000000"/>
                <w:sz w:val="19"/>
              </w:rPr>
              <w:t>Dedicated M10+ Replica Set (Multi-AZ Failover)</w:t>
            </w:r>
          </w:p>
        </w:tc>
      </w:tr>
    </w:tbl>
    <w:p>
      <w:r>
        <w:br w:type="page"/>
      </w:r>
    </w:p>
    <w:p>
      <w:pPr>
        <w:spacing w:before="360" w:after="80"/>
        <w:jc w:val="center"/>
      </w:pPr>
      <w:r>
        <w:rPr>
          <w:b/>
          <w:color w:val="000000"/>
          <w:sz w:val="32"/>
        </w:rPr>
        <w:t>CHAPTER 4</w:t>
      </w:r>
    </w:p>
    <w:p>
      <w:pPr>
        <w:spacing w:before="0" w:after="360"/>
        <w:jc w:val="center"/>
      </w:pPr>
      <w:r>
        <w:rPr>
          <w:b/>
          <w:color w:val="000000"/>
          <w:sz w:val="30"/>
        </w:rPr>
        <w:t>METHODOLOGY</w:t>
      </w:r>
    </w:p>
    <w:p>
      <w:pPr>
        <w:spacing w:line="360" w:lineRule="auto" w:before="0" w:after="160"/>
        <w:jc w:val="both"/>
      </w:pPr>
      <w:r>
        <w:rPr>
          <w:color w:val="000000"/>
          <w:sz w:val="24"/>
        </w:rPr>
        <w:t>This chapter deals with the core methodology and design specifications of EcoTrack, illustrating the layered system architecture, modular component breakdowns, UML class diagram representing Mongoose document models, and the end-to-end telemetry ingestion sequence diagram.</w:t>
      </w:r>
    </w:p>
    <w:p>
      <w:pPr>
        <w:spacing w:before="320" w:after="120"/>
        <w:jc w:val="both"/>
      </w:pPr>
      <w:r>
        <w:rPr>
          <w:b/>
          <w:color w:val="000000"/>
          <w:sz w:val="28"/>
        </w:rPr>
        <w:t>4.1 SYSTEM ARCHITECTURE</w:t>
      </w:r>
    </w:p>
    <w:p>
      <w:pPr>
        <w:spacing w:line="360" w:lineRule="auto" w:before="0" w:after="160"/>
        <w:jc w:val="both"/>
      </w:pPr>
      <w:r>
        <w:rPr>
          <w:color w:val="000000"/>
          <w:sz w:val="24"/>
        </w:rPr>
        <w:t>EcoTrack is engineered following a rigorous 3-Tier Layered Client-Server Architecture that ensures strict separation of concerns, high fault tolerance, and independent module maintainability. As illustrated in Figure 4.1, the system is structured into five distinct operational tiers:</w:t>
      </w:r>
    </w:p>
    <w:p>
      <w:pPr>
        <w:spacing w:line="360" w:lineRule="auto" w:before="0" w:after="160"/>
        <w:jc w:val="both"/>
      </w:pPr>
      <w:r>
        <w:rPr>
          <w:color w:val="000000"/>
          <w:sz w:val="24"/>
        </w:rPr>
        <w:t>1. Client Presentation Tier: Implemented as a high-performance Single Page Application (SPA) utilizing React 19, Vite, and Tailwind CSS v4. The user interface renders glowing KPI cards, interactive Recharts time-series visualizers, data entry modal forms, and real-time filtered tables. All client HTTP requests carry encrypted Bearer JWT tokens in the Authorization header.</w:t>
      </w:r>
    </w:p>
    <w:p>
      <w:pPr>
        <w:spacing w:line="360" w:lineRule="auto" w:before="0" w:after="160"/>
        <w:jc w:val="both"/>
      </w:pPr>
      <w:r>
        <w:rPr>
          <w:color w:val="000000"/>
          <w:sz w:val="24"/>
        </w:rPr>
        <w:t>2. Application Gateway &amp; Security Tier: Managed by an Express.js server running in Node.js. Handles RESTful routing, CORS configuration, centralized error handling, and cryptographic authentication via requireAuth middleware. It incorporates a Google Public DNS resolver (8.8.8.8) to eliminate SRV record resolution failures when connecting to MongoDB Atlas.</w:t>
      </w:r>
    </w:p>
    <w:p>
      <w:pPr>
        <w:spacing w:line="360" w:lineRule="auto" w:before="0" w:after="160"/>
        <w:jc w:val="both"/>
      </w:pPr>
      <w:r>
        <w:rPr>
          <w:color w:val="000000"/>
          <w:sz w:val="24"/>
        </w:rPr>
        <w:t>3. Business Logic &amp; ESG Computation Tier: Encapsulates domain calculation services: the GHG Carbon Accounting Engine, the Waste Diversion &amp; Recycling Engine, the Multi-Unit Energy Normalizer, the Composite ESG Scoring Service, and the PDFKit Vector Report Builder.</w:t>
      </w:r>
    </w:p>
    <w:p>
      <w:pPr>
        <w:spacing w:line="360" w:lineRule="auto" w:before="0" w:after="160"/>
        <w:jc w:val="both"/>
      </w:pPr>
      <w:r>
        <w:rPr>
          <w:color w:val="000000"/>
          <w:sz w:val="24"/>
        </w:rPr>
        <w:t>4. Data Access Layer (DAL): Implements Mongoose ODM schemas, enforcing validation constraints, indexed field definitions, and atomic write operations across collections.</w:t>
      </w:r>
    </w:p>
    <w:p>
      <w:pPr>
        <w:spacing w:line="360" w:lineRule="auto" w:before="0" w:after="160"/>
        <w:jc w:val="both"/>
      </w:pPr>
      <w:r>
        <w:rPr>
          <w:color w:val="000000"/>
          <w:sz w:val="24"/>
        </w:rPr>
        <w:t>5. Cloud Persistence Tier: Hosted on a managed MongoDB Atlas cloud cluster located in AWS Mumbai (ap-south-1). Employs a 3-node replica set with automated failover and daily snapshots.</w:t>
      </w:r>
    </w:p>
    <w:p>
      <w:pPr>
        <w:spacing w:before="160" w:after="8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_4_1_architecture.png"/>
                    <pic:cNvPicPr/>
                  </pic:nvPicPr>
                  <pic:blipFill>
                    <a:blip r:embed="rId13"/>
                    <a:stretch>
                      <a:fillRect/>
                    </a:stretch>
                  </pic:blipFill>
                  <pic:spPr>
                    <a:xfrm>
                      <a:off x="0" y="0"/>
                      <a:ext cx="5669280" cy="3543300"/>
                    </a:xfrm>
                    <a:prstGeom prst="rect"/>
                  </pic:spPr>
                </pic:pic>
              </a:graphicData>
            </a:graphic>
          </wp:inline>
        </w:drawing>
      </w:r>
    </w:p>
    <w:p>
      <w:pPr>
        <w:spacing w:before="120" w:after="320"/>
        <w:jc w:val="center"/>
      </w:pPr>
      <w:r>
        <w:rPr>
          <w:b/>
          <w:color w:val="000000"/>
          <w:sz w:val="22"/>
        </w:rPr>
        <w:t>Figure 4.1: EcoTrack ESG Management Platform -- Layered System Architecture</w:t>
      </w:r>
    </w:p>
    <w:p>
      <w:pPr>
        <w:spacing w:before="320" w:after="120"/>
        <w:jc w:val="both"/>
      </w:pPr>
      <w:r>
        <w:rPr>
          <w:b/>
          <w:color w:val="000000"/>
          <w:sz w:val="28"/>
        </w:rPr>
        <w:t>4.2 MODULE DESCRIPTION</w:t>
      </w:r>
    </w:p>
    <w:p>
      <w:pPr>
        <w:spacing w:line="360" w:lineRule="auto" w:before="0" w:after="160"/>
        <w:jc w:val="both"/>
      </w:pPr>
      <w:r>
        <w:rPr>
          <w:color w:val="000000"/>
          <w:sz w:val="24"/>
        </w:rPr>
        <w:t>The EcoTrack platform encapsulates eight cohesive functional modules designed for enterprise operational efficiency:</w:t>
      </w:r>
    </w:p>
    <w:p>
      <w:pPr>
        <w:spacing w:line="360" w:lineRule="auto" w:before="0" w:after="160"/>
        <w:jc w:val="both"/>
      </w:pPr>
      <w:r>
        <w:rPr>
          <w:color w:val="000000"/>
          <w:sz w:val="24"/>
        </w:rPr>
        <w:t>• Executive Overview Dashboard Module: Serves as the central command cockpit for corporate sustainability executives. Aggregates monthly power consumption, gross carbon footprint, circular waste diversion rate, and active goal progress into four radiant KPI cards. Displays historical trends using Recharts area charts and renders a circular SVG Composite ESG Health Index gauge.</w:t>
      </w:r>
    </w:p>
    <w:p>
      <w:pPr>
        <w:spacing w:line="360" w:lineRule="auto" w:before="0" w:after="160"/>
        <w:jc w:val="both"/>
      </w:pPr>
      <w:r>
        <w:rPr>
          <w:color w:val="000000"/>
          <w:sz w:val="24"/>
        </w:rPr>
        <w:t>• Energy Telemetry &amp; Tracking Module: Manages multi-facility electricity, natural gas, diesel, solar, and district heating data. Supports unit selection (kWh, MWh, Therms, Gallons), automatically converts disparate units into equivalent kilowatt-hours, and computes monthly cost expenditures.</w:t>
      </w:r>
    </w:p>
    <w:p>
      <w:pPr>
        <w:spacing w:line="360" w:lineRule="auto" w:before="0" w:after="160"/>
        <w:jc w:val="both"/>
      </w:pPr>
      <w:r>
        <w:rPr>
          <w:color w:val="000000"/>
          <w:sz w:val="24"/>
        </w:rPr>
        <w:t>• Greenhouse Gas Carbon Footprint Module: Implements the Greenhouse Gas Protocol framework, categorizing emissions into Scope 1 (direct combustion), Scope 2 (purchased grid electricity), and Scope 3 (business travel and supply freight). Dynamically converts consumption into metric tons of carbon equivalent (tCO2e).</w:t>
      </w:r>
    </w:p>
    <w:p>
      <w:pPr>
        <w:spacing w:line="360" w:lineRule="auto" w:before="0" w:after="160"/>
        <w:jc w:val="both"/>
      </w:pPr>
      <w:r>
        <w:rPr>
          <w:color w:val="000000"/>
          <w:sz w:val="24"/>
        </w:rPr>
        <w:t>• Waste &amp; Circularity Governance Module: Ingests solid, compost, hazardous, and electronic waste data across recycling, landfill, compost, and incineration methods. Computes real-time diversion percentages to measure corporate progress toward zero-waste-to-landfill targets.</w:t>
      </w:r>
    </w:p>
    <w:p>
      <w:pPr>
        <w:spacing w:line="360" w:lineRule="auto" w:before="0" w:after="160"/>
        <w:jc w:val="both"/>
      </w:pPr>
      <w:r>
        <w:rPr>
          <w:color w:val="000000"/>
          <w:sz w:val="24"/>
        </w:rPr>
        <w:t>• ESG Performance &amp; Scoring Module: Implements multi-dimensional normalization across Environmental, Social, and Governance pillars, generating an empirical 0–100 composite rating to guide board-level compliance reviews.</w:t>
      </w:r>
    </w:p>
    <w:p>
      <w:pPr>
        <w:spacing w:line="360" w:lineRule="auto" w:before="0" w:after="160"/>
        <w:jc w:val="both"/>
      </w:pPr>
      <w:r>
        <w:rPr>
          <w:color w:val="000000"/>
          <w:sz w:val="24"/>
        </w:rPr>
        <w:t>• Sustainability Goals &amp; Milestones Module: Tracks target net-zero reduction horizons (e.g., 'Reduce Scope 1 emissions by 40% by 2030'), computing real-time percentage completion and trajectory status.</w:t>
      </w:r>
    </w:p>
    <w:p>
      <w:pPr>
        <w:spacing w:line="360" w:lineRule="auto" w:before="0" w:after="160"/>
        <w:jc w:val="both"/>
      </w:pPr>
      <w:r>
        <w:rPr>
          <w:color w:val="000000"/>
          <w:sz w:val="24"/>
        </w:rPr>
        <w:t>• Vector PDF Report Generation Module: Utilizes PDFKit to dynamically generate comprehensive, audit-ready compliance PDF documents incorporating facility summaries, emissions breakdown tables, and official certification stamps.</w:t>
      </w:r>
    </w:p>
    <w:p>
      <w:pPr>
        <w:spacing w:line="360" w:lineRule="auto" w:before="0" w:after="160"/>
        <w:jc w:val="both"/>
      </w:pPr>
      <w:r>
        <w:rPr>
          <w:color w:val="000000"/>
          <w:sz w:val="24"/>
        </w:rPr>
        <w:t>• Security, Auth &amp; Diagnostics Module: Provides secure user authentication, role-based route protection (Admin, Manager, Employee, Auditor), and live MongoDB Atlas telemetry diagnostics.</w:t>
      </w:r>
    </w:p>
    <w:p>
      <w:pPr>
        <w:spacing w:before="240" w:after="80"/>
        <w:jc w:val="center"/>
      </w:pPr>
      <w:r>
        <w:rPr>
          <w:b/>
          <w:color w:val="000000"/>
          <w:sz w:val="22"/>
        </w:rPr>
        <w:t>Table 4.1: Summary of EcoTrack System Modules and Core Responsibilities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color="auto" w:fill="E2E8F0"/>
          </w:tcPr>
          <w:p>
            <w:r>
              <w:rPr>
                <w:b/>
                <w:color w:val="000000"/>
                <w:sz w:val="20"/>
              </w:rPr>
              <w:t>Module Code</w:t>
            </w:r>
          </w:p>
        </w:tc>
        <w:tc>
          <w:tcPr>
            <w:tcW w:type="dxa" w:w="2592"/>
            <w:shd w:val="clear" w:color="auto" w:fill="E2E8F0"/>
          </w:tcPr>
          <w:p>
            <w:r>
              <w:rPr>
                <w:b/>
                <w:color w:val="000000"/>
                <w:sz w:val="20"/>
              </w:rPr>
              <w:t>Module Name</w:t>
            </w:r>
          </w:p>
        </w:tc>
        <w:tc>
          <w:tcPr>
            <w:tcW w:type="dxa" w:w="2304"/>
            <w:shd w:val="clear" w:color="auto" w:fill="E2E8F0"/>
          </w:tcPr>
          <w:p>
            <w:r>
              <w:rPr>
                <w:b/>
                <w:color w:val="000000"/>
                <w:sz w:val="20"/>
              </w:rPr>
              <w:t>Primary Entities</w:t>
            </w:r>
          </w:p>
        </w:tc>
        <w:tc>
          <w:tcPr>
            <w:tcW w:type="dxa" w:w="3024"/>
            <w:shd w:val="clear" w:color="auto" w:fill="E2E8F0"/>
          </w:tcPr>
          <w:p>
            <w:r>
              <w:rPr>
                <w:b/>
                <w:color w:val="000000"/>
                <w:sz w:val="20"/>
              </w:rPr>
              <w:t>Key Operational Responsibility</w:t>
            </w:r>
          </w:p>
        </w:tc>
      </w:tr>
      <w:tr>
        <w:tc>
          <w:tcPr>
            <w:tcW w:type="dxa" w:w="1872"/>
          </w:tcPr>
          <w:p>
            <w:r>
              <w:rPr>
                <w:color w:val="000000"/>
                <w:sz w:val="19"/>
              </w:rPr>
              <w:t>MOD-01</w:t>
            </w:r>
          </w:p>
        </w:tc>
        <w:tc>
          <w:tcPr>
            <w:tcW w:type="dxa" w:w="2592"/>
          </w:tcPr>
          <w:p>
            <w:r>
              <w:rPr>
                <w:color w:val="000000"/>
                <w:sz w:val="19"/>
              </w:rPr>
              <w:t>Executive Dashboard</w:t>
            </w:r>
          </w:p>
        </w:tc>
        <w:tc>
          <w:tcPr>
            <w:tcW w:type="dxa" w:w="2304"/>
          </w:tcPr>
          <w:p>
            <w:r>
              <w:rPr>
                <w:color w:val="000000"/>
                <w:sz w:val="19"/>
              </w:rPr>
              <w:t>OverviewKPIs, Trends</w:t>
            </w:r>
          </w:p>
        </w:tc>
        <w:tc>
          <w:tcPr>
            <w:tcW w:type="dxa" w:w="3024"/>
          </w:tcPr>
          <w:p>
            <w:r>
              <w:rPr>
                <w:color w:val="000000"/>
                <w:sz w:val="19"/>
              </w:rPr>
              <w:t>Aggregated KPI cards, Recharts time-series, circular ESG gauge</w:t>
            </w:r>
          </w:p>
        </w:tc>
      </w:tr>
      <w:tr>
        <w:tc>
          <w:tcPr>
            <w:tcW w:type="dxa" w:w="1872"/>
          </w:tcPr>
          <w:p>
            <w:r>
              <w:rPr>
                <w:color w:val="000000"/>
                <w:sz w:val="19"/>
              </w:rPr>
              <w:t>MOD-02</w:t>
            </w:r>
          </w:p>
        </w:tc>
        <w:tc>
          <w:tcPr>
            <w:tcW w:type="dxa" w:w="2592"/>
          </w:tcPr>
          <w:p>
            <w:r>
              <w:rPr>
                <w:color w:val="000000"/>
                <w:sz w:val="19"/>
              </w:rPr>
              <w:t>Energy Tracking</w:t>
            </w:r>
          </w:p>
        </w:tc>
        <w:tc>
          <w:tcPr>
            <w:tcW w:type="dxa" w:w="2304"/>
          </w:tcPr>
          <w:p>
            <w:r>
              <w:rPr>
                <w:color w:val="000000"/>
                <w:sz w:val="19"/>
              </w:rPr>
              <w:t>EnergyRecord</w:t>
            </w:r>
          </w:p>
        </w:tc>
        <w:tc>
          <w:tcPr>
            <w:tcW w:type="dxa" w:w="3024"/>
          </w:tcPr>
          <w:p>
            <w:r>
              <w:rPr>
                <w:color w:val="000000"/>
                <w:sz w:val="19"/>
              </w:rPr>
              <w:t>Multi-source logging, unit normalization (kWh), cost tracking</w:t>
            </w:r>
          </w:p>
        </w:tc>
      </w:tr>
      <w:tr>
        <w:tc>
          <w:tcPr>
            <w:tcW w:type="dxa" w:w="1872"/>
          </w:tcPr>
          <w:p>
            <w:r>
              <w:rPr>
                <w:color w:val="000000"/>
                <w:sz w:val="19"/>
              </w:rPr>
              <w:t>MOD-03</w:t>
            </w:r>
          </w:p>
        </w:tc>
        <w:tc>
          <w:tcPr>
            <w:tcW w:type="dxa" w:w="2592"/>
          </w:tcPr>
          <w:p>
            <w:r>
              <w:rPr>
                <w:color w:val="000000"/>
                <w:sz w:val="19"/>
              </w:rPr>
              <w:t>Carbon Accounting</w:t>
            </w:r>
          </w:p>
        </w:tc>
        <w:tc>
          <w:tcPr>
            <w:tcW w:type="dxa" w:w="2304"/>
          </w:tcPr>
          <w:p>
            <w:r>
              <w:rPr>
                <w:color w:val="000000"/>
                <w:sz w:val="19"/>
              </w:rPr>
              <w:t>EmissionRecord</w:t>
            </w:r>
          </w:p>
        </w:tc>
        <w:tc>
          <w:tcPr>
            <w:tcW w:type="dxa" w:w="3024"/>
          </w:tcPr>
          <w:p>
            <w:r>
              <w:rPr>
                <w:color w:val="000000"/>
                <w:sz w:val="19"/>
              </w:rPr>
              <w:t>GHG Scope 1, 2, 3 conversion into metric tons (tCO2e)</w:t>
            </w:r>
          </w:p>
        </w:tc>
      </w:tr>
      <w:tr>
        <w:tc>
          <w:tcPr>
            <w:tcW w:type="dxa" w:w="1872"/>
          </w:tcPr>
          <w:p>
            <w:r>
              <w:rPr>
                <w:color w:val="000000"/>
                <w:sz w:val="19"/>
              </w:rPr>
              <w:t>MOD-04</w:t>
            </w:r>
          </w:p>
        </w:tc>
        <w:tc>
          <w:tcPr>
            <w:tcW w:type="dxa" w:w="2592"/>
          </w:tcPr>
          <w:p>
            <w:r>
              <w:rPr>
                <w:color w:val="000000"/>
                <w:sz w:val="19"/>
              </w:rPr>
              <w:t>Waste &amp; Circularity</w:t>
            </w:r>
          </w:p>
        </w:tc>
        <w:tc>
          <w:tcPr>
            <w:tcW w:type="dxa" w:w="2304"/>
          </w:tcPr>
          <w:p>
            <w:r>
              <w:rPr>
                <w:color w:val="000000"/>
                <w:sz w:val="19"/>
              </w:rPr>
              <w:t>WasteRecord</w:t>
            </w:r>
          </w:p>
        </w:tc>
        <w:tc>
          <w:tcPr>
            <w:tcW w:type="dxa" w:w="3024"/>
          </w:tcPr>
          <w:p>
            <w:r>
              <w:rPr>
                <w:color w:val="000000"/>
                <w:sz w:val="19"/>
              </w:rPr>
              <w:t>Disposal categorization, recycling diversion rate math</w:t>
            </w:r>
          </w:p>
        </w:tc>
      </w:tr>
      <w:tr>
        <w:tc>
          <w:tcPr>
            <w:tcW w:type="dxa" w:w="1872"/>
          </w:tcPr>
          <w:p>
            <w:r>
              <w:rPr>
                <w:color w:val="000000"/>
                <w:sz w:val="19"/>
              </w:rPr>
              <w:t>MOD-05</w:t>
            </w:r>
          </w:p>
        </w:tc>
        <w:tc>
          <w:tcPr>
            <w:tcW w:type="dxa" w:w="2592"/>
          </w:tcPr>
          <w:p>
            <w:r>
              <w:rPr>
                <w:color w:val="000000"/>
                <w:sz w:val="19"/>
              </w:rPr>
              <w:t>ESG Metrics</w:t>
            </w:r>
          </w:p>
        </w:tc>
        <w:tc>
          <w:tcPr>
            <w:tcW w:type="dxa" w:w="2304"/>
          </w:tcPr>
          <w:p>
            <w:r>
              <w:rPr>
                <w:color w:val="000000"/>
                <w:sz w:val="19"/>
              </w:rPr>
              <w:t>ESGMetric</w:t>
            </w:r>
          </w:p>
        </w:tc>
        <w:tc>
          <w:tcPr>
            <w:tcW w:type="dxa" w:w="3024"/>
          </w:tcPr>
          <w:p>
            <w:r>
              <w:rPr>
                <w:color w:val="000000"/>
                <w:sz w:val="19"/>
              </w:rPr>
              <w:t>Weighted multi-pillar normalization &amp; historical score trends</w:t>
            </w:r>
          </w:p>
        </w:tc>
      </w:tr>
      <w:tr>
        <w:tc>
          <w:tcPr>
            <w:tcW w:type="dxa" w:w="1872"/>
          </w:tcPr>
          <w:p>
            <w:r>
              <w:rPr>
                <w:color w:val="000000"/>
                <w:sz w:val="19"/>
              </w:rPr>
              <w:t>MOD-06</w:t>
            </w:r>
          </w:p>
        </w:tc>
        <w:tc>
          <w:tcPr>
            <w:tcW w:type="dxa" w:w="2592"/>
          </w:tcPr>
          <w:p>
            <w:r>
              <w:rPr>
                <w:color w:val="000000"/>
                <w:sz w:val="19"/>
              </w:rPr>
              <w:t>Goals Management</w:t>
            </w:r>
          </w:p>
        </w:tc>
        <w:tc>
          <w:tcPr>
            <w:tcW w:type="dxa" w:w="2304"/>
          </w:tcPr>
          <w:p>
            <w:r>
              <w:rPr>
                <w:color w:val="000000"/>
                <w:sz w:val="19"/>
              </w:rPr>
              <w:t>SustainabilityGoal</w:t>
            </w:r>
          </w:p>
        </w:tc>
        <w:tc>
          <w:tcPr>
            <w:tcW w:type="dxa" w:w="3024"/>
          </w:tcPr>
          <w:p>
            <w:r>
              <w:rPr>
                <w:color w:val="000000"/>
                <w:sz w:val="19"/>
              </w:rPr>
              <w:t>Milestone tracking, target year horizons, trajectory status</w:t>
            </w:r>
          </w:p>
        </w:tc>
      </w:tr>
      <w:tr>
        <w:tc>
          <w:tcPr>
            <w:tcW w:type="dxa" w:w="1872"/>
          </w:tcPr>
          <w:p>
            <w:r>
              <w:rPr>
                <w:color w:val="000000"/>
                <w:sz w:val="19"/>
              </w:rPr>
              <w:t>MOD-07</w:t>
            </w:r>
          </w:p>
        </w:tc>
        <w:tc>
          <w:tcPr>
            <w:tcW w:type="dxa" w:w="2592"/>
          </w:tcPr>
          <w:p>
            <w:r>
              <w:rPr>
                <w:color w:val="000000"/>
                <w:sz w:val="19"/>
              </w:rPr>
              <w:t>Report Generator</w:t>
            </w:r>
          </w:p>
        </w:tc>
        <w:tc>
          <w:tcPr>
            <w:tcW w:type="dxa" w:w="2304"/>
          </w:tcPr>
          <w:p>
            <w:r>
              <w:rPr>
                <w:color w:val="000000"/>
                <w:sz w:val="19"/>
              </w:rPr>
              <w:t>ReportAuditLog</w:t>
            </w:r>
          </w:p>
        </w:tc>
        <w:tc>
          <w:tcPr>
            <w:tcW w:type="dxa" w:w="3024"/>
          </w:tcPr>
          <w:p>
            <w:r>
              <w:rPr>
                <w:color w:val="000000"/>
                <w:sz w:val="19"/>
              </w:rPr>
              <w:t>Server-side vector PDF report compilation via PDFKit</w:t>
            </w:r>
          </w:p>
        </w:tc>
      </w:tr>
      <w:tr>
        <w:tc>
          <w:tcPr>
            <w:tcW w:type="dxa" w:w="1872"/>
          </w:tcPr>
          <w:p>
            <w:r>
              <w:rPr>
                <w:color w:val="000000"/>
                <w:sz w:val="19"/>
              </w:rPr>
              <w:t>MOD-08</w:t>
            </w:r>
          </w:p>
        </w:tc>
        <w:tc>
          <w:tcPr>
            <w:tcW w:type="dxa" w:w="2592"/>
          </w:tcPr>
          <w:p>
            <w:r>
              <w:rPr>
                <w:color w:val="000000"/>
                <w:sz w:val="19"/>
              </w:rPr>
              <w:t>Security &amp; System</w:t>
            </w:r>
          </w:p>
        </w:tc>
        <w:tc>
          <w:tcPr>
            <w:tcW w:type="dxa" w:w="2304"/>
          </w:tcPr>
          <w:p>
            <w:r>
              <w:rPr>
                <w:color w:val="000000"/>
                <w:sz w:val="19"/>
              </w:rPr>
              <w:t>User, Organization</w:t>
            </w:r>
          </w:p>
        </w:tc>
        <w:tc>
          <w:tcPr>
            <w:tcW w:type="dxa" w:w="3024"/>
          </w:tcPr>
          <w:p>
            <w:r>
              <w:rPr>
                <w:color w:val="000000"/>
                <w:sz w:val="19"/>
              </w:rPr>
              <w:t>Bcrypt hashing, JWT verification, RBAC, MongoDB Atlas status</w:t>
            </w:r>
          </w:p>
        </w:tc>
      </w:tr>
    </w:tbl>
    <w:p>
      <w:pPr>
        <w:spacing w:before="320" w:after="120"/>
        <w:jc w:val="both"/>
      </w:pPr>
      <w:r>
        <w:rPr>
          <w:b/>
          <w:color w:val="000000"/>
          <w:sz w:val="28"/>
        </w:rPr>
        <w:t>4.3 CLASS DIAGRAM</w:t>
      </w:r>
    </w:p>
    <w:p>
      <w:pPr>
        <w:spacing w:line="360" w:lineRule="auto" w:before="0" w:after="160"/>
        <w:jc w:val="both"/>
      </w:pPr>
      <w:r>
        <w:rPr>
          <w:color w:val="000000"/>
          <w:sz w:val="24"/>
        </w:rPr>
        <w:t>The database architecture of the EcoTrack platform is modeled through a high-performance document schema implemented in MongoDB Atlas using Mongoose 9 ODM. The class diagram in Figure 4.2 illustrates the primary domain document entities, their core attributes, data types, validation constraints, and relational associations via indexed organizationId foreign keys.</w:t>
      </w:r>
    </w:p>
    <w:p>
      <w:pPr>
        <w:spacing w:line="360" w:lineRule="auto" w:before="0" w:after="160"/>
        <w:jc w:val="both"/>
      </w:pPr>
      <w:r>
        <w:rPr>
          <w:color w:val="000000"/>
          <w:sz w:val="24"/>
        </w:rPr>
        <w:t>The schema models all critical enterprise entities: User accounts with Bcrypt password hashes and Role definitions; Organization metadata storing reporting years and functional currencies; EnergyRecord documents capturing consumption, units, and dates; EmissionRecord documents tracking Scope 1, 2, and 3 carbon factors; WasteRecord documents detailing disposal methods; ESGMetric documents storing historical pillar ratings; and SustainabilityGoal documents maintaining milestone targets.</w:t>
      </w:r>
    </w:p>
    <w:p>
      <w:pPr>
        <w:spacing w:before="160" w:after="80"/>
        <w:jc w:val="center"/>
      </w:pPr>
      <w:r>
        <w:drawing>
          <wp:inline xmlns:a="http://schemas.openxmlformats.org/drawingml/2006/main" xmlns:pic="http://schemas.openxmlformats.org/drawingml/2006/picture">
            <wp:extent cx="5669280" cy="3897630"/>
            <wp:docPr id="5" name="Picture 5"/>
            <wp:cNvGraphicFramePr>
              <a:graphicFrameLocks noChangeAspect="1"/>
            </wp:cNvGraphicFramePr>
            <a:graphic>
              <a:graphicData uri="http://schemas.openxmlformats.org/drawingml/2006/picture">
                <pic:pic>
                  <pic:nvPicPr>
                    <pic:cNvPr id="0" name="fig_4_2_class_diagram.png"/>
                    <pic:cNvPicPr/>
                  </pic:nvPicPr>
                  <pic:blipFill>
                    <a:blip r:embed="rId14"/>
                    <a:stretch>
                      <a:fillRect/>
                    </a:stretch>
                  </pic:blipFill>
                  <pic:spPr>
                    <a:xfrm>
                      <a:off x="0" y="0"/>
                      <a:ext cx="5669280" cy="3897630"/>
                    </a:xfrm>
                    <a:prstGeom prst="rect"/>
                  </pic:spPr>
                </pic:pic>
              </a:graphicData>
            </a:graphic>
          </wp:inline>
        </w:drawing>
      </w:r>
    </w:p>
    <w:p>
      <w:pPr>
        <w:spacing w:before="120" w:after="320"/>
        <w:jc w:val="center"/>
      </w:pPr>
      <w:r>
        <w:rPr>
          <w:b/>
          <w:color w:val="000000"/>
          <w:sz w:val="22"/>
        </w:rPr>
        <w:t>Figure 4.2: UML Class Diagram of EcoTrack Mongoose Document Models &amp; Relationships</w:t>
      </w:r>
    </w:p>
    <w:p>
      <w:pPr>
        <w:spacing w:before="320" w:after="120"/>
        <w:jc w:val="both"/>
      </w:pPr>
      <w:r>
        <w:rPr>
          <w:b/>
          <w:color w:val="000000"/>
          <w:sz w:val="28"/>
        </w:rPr>
        <w:t>4.4 SEQUENCE DIAGRAM</w:t>
      </w:r>
    </w:p>
    <w:p>
      <w:pPr>
        <w:spacing w:line="360" w:lineRule="auto" w:before="0" w:after="160"/>
        <w:jc w:val="both"/>
      </w:pPr>
      <w:r>
        <w:rPr>
          <w:color w:val="000000"/>
          <w:sz w:val="24"/>
        </w:rPr>
        <w:t>Figure 4.3 illustrates the runtime message sequence and execution dynamics of EcoTrack's end-to-end telemetry ingestion pipeline. When a facility operator logs a new operational energy record via the React Single Page Application, the request flows through the following coordinated sequence:</w:t>
      </w:r>
    </w:p>
    <w:p>
      <w:pPr>
        <w:spacing w:line="360" w:lineRule="auto" w:before="0" w:after="160"/>
        <w:jc w:val="both"/>
      </w:pPr>
      <w:r>
        <w:rPr>
          <w:color w:val="000000"/>
          <w:sz w:val="24"/>
        </w:rPr>
        <w:t>1. Ingestion Submission: The operator fills the energy record modal (Facility, Source, Consumption, Unit, Cost) and submits.</w:t>
      </w:r>
    </w:p>
    <w:p>
      <w:pPr>
        <w:spacing w:line="360" w:lineRule="auto" w:before="0" w:after="160"/>
        <w:jc w:val="both"/>
      </w:pPr>
      <w:r>
        <w:rPr>
          <w:color w:val="000000"/>
          <w:sz w:val="24"/>
        </w:rPr>
        <w:t>2. API Gateway &amp; JWT Verification: The frontend api.ts service attaches the Bearer JWT token and dispatches an HTTP POST to /api/energy. The Express requireAuth middleware validates the cryptographic token signature using HMAC-SHA256.</w:t>
      </w:r>
    </w:p>
    <w:p>
      <w:pPr>
        <w:spacing w:line="360" w:lineRule="auto" w:before="0" w:after="160"/>
        <w:jc w:val="both"/>
      </w:pPr>
      <w:r>
        <w:rPr>
          <w:color w:val="000000"/>
          <w:sz w:val="24"/>
        </w:rPr>
        <w:t>3. Schema Constraint Validation: The Zod schema validator verifies numerical types, unit options, and date formatting, rejecting malformed payloads before database execution.</w:t>
      </w:r>
    </w:p>
    <w:p>
      <w:pPr>
        <w:spacing w:line="360" w:lineRule="auto" w:before="0" w:after="160"/>
        <w:jc w:val="both"/>
      </w:pPr>
      <w:r>
        <w:rPr>
          <w:color w:val="000000"/>
          <w:sz w:val="24"/>
        </w:rPr>
        <w:t>4. Mathematical Engine Invocation: The business calculation service converts units (e.g., MWh or Therms to kWh) and calculates Scope 2 carbon emissions.</w:t>
      </w:r>
    </w:p>
    <w:p>
      <w:pPr>
        <w:spacing w:line="360" w:lineRule="auto" w:before="0" w:after="160"/>
        <w:jc w:val="both"/>
      </w:pPr>
      <w:r>
        <w:rPr>
          <w:color w:val="000000"/>
          <w:sz w:val="24"/>
        </w:rPr>
        <w:t>5. Atomic MongoDB Persistence: The Data Access Layer executes Mongoose insert operations against the 'energyrecords' collection in MongoDB Atlas.</w:t>
      </w:r>
    </w:p>
    <w:p>
      <w:pPr>
        <w:spacing w:line="360" w:lineRule="auto" w:before="0" w:after="160"/>
        <w:jc w:val="both"/>
      </w:pPr>
      <w:r>
        <w:rPr>
          <w:color w:val="000000"/>
          <w:sz w:val="24"/>
        </w:rPr>
        <w:t>6. Client State Mutation: The backend returns an HTTP 201 Created response. The React frontend updates local state, re-calculates aggregate KPI cards, animates Recharts graphs, and presents an immediate success toast.</w:t>
      </w:r>
    </w:p>
    <w:p>
      <w:pPr>
        <w:spacing w:before="160" w:after="8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fig_4_3_sequence_diagram.png"/>
                    <pic:cNvPicPr/>
                  </pic:nvPicPr>
                  <pic:blipFill>
                    <a:blip r:embed="rId15"/>
                    <a:stretch>
                      <a:fillRect/>
                    </a:stretch>
                  </pic:blipFill>
                  <pic:spPr>
                    <a:xfrm>
                      <a:off x="0" y="0"/>
                      <a:ext cx="5669280" cy="3543300"/>
                    </a:xfrm>
                    <a:prstGeom prst="rect"/>
                  </pic:spPr>
                </pic:pic>
              </a:graphicData>
            </a:graphic>
          </wp:inline>
        </w:drawing>
      </w:r>
    </w:p>
    <w:p>
      <w:pPr>
        <w:spacing w:before="120" w:after="320"/>
        <w:jc w:val="center"/>
      </w:pPr>
      <w:r>
        <w:rPr>
          <w:b/>
          <w:color w:val="000000"/>
          <w:sz w:val="22"/>
        </w:rPr>
        <w:t>Figure 4.3: End-to-End ESG Telemetry Ingestion Sequence Diagram</w:t>
      </w:r>
    </w:p>
    <w:p>
      <w:r>
        <w:br w:type="page"/>
      </w:r>
    </w:p>
    <w:p>
      <w:pPr>
        <w:spacing w:before="360" w:after="80"/>
        <w:jc w:val="center"/>
      </w:pPr>
      <w:r>
        <w:rPr>
          <w:b/>
          <w:color w:val="000000"/>
          <w:sz w:val="32"/>
        </w:rPr>
        <w:t>CHAPTER 5</w:t>
      </w:r>
    </w:p>
    <w:p>
      <w:pPr>
        <w:spacing w:before="0" w:after="360"/>
        <w:jc w:val="center"/>
      </w:pPr>
      <w:r>
        <w:rPr>
          <w:b/>
          <w:color w:val="000000"/>
          <w:sz w:val="30"/>
        </w:rPr>
        <w:t>RESULTS AND DISCUSSION</w:t>
      </w:r>
    </w:p>
    <w:p>
      <w:pPr>
        <w:spacing w:line="360" w:lineRule="auto" w:before="0" w:after="160"/>
        <w:jc w:val="both"/>
      </w:pPr>
      <w:r>
        <w:rPr>
          <w:color w:val="000000"/>
          <w:sz w:val="24"/>
        </w:rPr>
        <w:t>This chapter deals with the implementation results, algorithmic code walkthroughs, UI verification screenshots, and analytical discussion of the EcoTrack ESG Sustainability Management Platform.</w:t>
      </w:r>
    </w:p>
    <w:p>
      <w:pPr>
        <w:spacing w:before="320" w:after="120"/>
        <w:jc w:val="both"/>
      </w:pPr>
      <w:r>
        <w:rPr>
          <w:b/>
          <w:color w:val="000000"/>
          <w:sz w:val="28"/>
        </w:rPr>
        <w:t>5.1 IMPLEMENTATION OVERVIEW</w:t>
      </w:r>
    </w:p>
    <w:p>
      <w:pPr>
        <w:spacing w:line="360" w:lineRule="auto" w:before="0" w:after="160"/>
        <w:jc w:val="both"/>
      </w:pPr>
      <w:r>
        <w:rPr>
          <w:color w:val="000000"/>
          <w:sz w:val="24"/>
        </w:rPr>
        <w:t>The EcoTrack platform was successfully engineered, integrated, and deployed against realistic enterprise sustainability datasets. Over 12 months of historical energy, carbon emissions, waste generation, and ESG metrics spanning four user tiers were seeded into a live MongoDB Atlas cloud cluster located in AWS Mumbai (ap-south-1).</w:t>
      </w:r>
    </w:p>
    <w:p>
      <w:pPr>
        <w:spacing w:line="360" w:lineRule="auto" w:before="0" w:after="160"/>
        <w:jc w:val="both"/>
      </w:pPr>
      <w:r>
        <w:rPr>
          <w:color w:val="000000"/>
          <w:sz w:val="24"/>
        </w:rPr>
        <w:t>The implementation delivers verified sub-100 millisecond response latencies for all RESTful aggregation queries. The frontend React 19 application incorporates a custom chartTheme module, aligning CartesianGrid lines, axis ticks, and tooltips with the glassmorphism dark aesthetic (#07051a base background). The system eliminates URL query corruption through a dedicated parameter cleansing utility and guarantees cloud database resiliency via forced Google Public DNS resolution.</w:t>
      </w:r>
    </w:p>
    <w:p>
      <w:pPr>
        <w:spacing w:before="320" w:after="120"/>
        <w:jc w:val="both"/>
      </w:pPr>
      <w:r>
        <w:rPr>
          <w:b/>
          <w:color w:val="000000"/>
          <w:sz w:val="28"/>
        </w:rPr>
        <w:t>5.2 KEY FUNCTIONS (CODE EXPLANATION)</w:t>
      </w:r>
    </w:p>
    <w:p>
      <w:pPr>
        <w:spacing w:line="360" w:lineRule="auto" w:before="0" w:after="160"/>
        <w:jc w:val="both"/>
      </w:pPr>
      <w:r>
        <w:rPr>
          <w:color w:val="000000"/>
          <w:sz w:val="24"/>
        </w:rPr>
        <w:t>The core mathematical formulas and computational algorithms powering EcoTrack are detailed with code explanations below:</w:t>
      </w:r>
    </w:p>
    <w:p>
      <w:pPr>
        <w:spacing w:before="240" w:after="80"/>
        <w:jc w:val="both"/>
      </w:pPr>
      <w:r>
        <w:rPr>
          <w:b/>
          <w:color w:val="000000"/>
          <w:sz w:val="24"/>
        </w:rPr>
        <w:t>5.2.1 Real-Time GHG Protocol Carbon Engine</w:t>
      </w:r>
    </w:p>
    <w:p>
      <w:pPr>
        <w:spacing w:line="360" w:lineRule="auto" w:before="0" w:after="160"/>
        <w:jc w:val="both"/>
      </w:pPr>
      <w:r>
        <w:rPr>
          <w:color w:val="000000"/>
          <w:sz w:val="24"/>
        </w:rPr>
        <w:t>The carbon accounting service calculates metric tons of carbon equivalent (tCO2e) across all three GHG Protocol scopes by multiplying activity consumption by standard emission factors:</w:t>
      </w:r>
    </w:p>
    <w:p>
      <w:pPr>
        <w:spacing w:line="360" w:lineRule="auto" w:before="0" w:after="160"/>
        <w:jc w:val="both"/>
      </w:pPr>
      <w:r>
        <w:rPr>
          <w:color w:val="000000"/>
          <w:sz w:val="24"/>
        </w:rPr>
        <w:t>Mathematical Formulation:</w:t>
        <w:br/>
        <w:t>Scope 1 (Direct Fuel): tCO2e = (Volume in Gallons or Liters * Fuel Emission Factor) / 1000</w:t>
        <w:br/>
        <w:t>Scope 2 (Electricity): tCO2e = (Consumption in kWh * Grid Carbon Intensity Factor) / 1000</w:t>
        <w:br/>
        <w:t>Scope 3 (Value Chain): tCO2e = sum(Activity Distance * Freight/Travel Emission Factor)</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 server/services/calculationService.ts - Real-Time Carbon Accounting Engine</w:t>
              <w:br/>
              <w:t>export class CalculationService {</w:t>
              <w:br/>
              <w:t xml:space="preserve">  static calculateCarbonEmissions(records: EnergyRecord[]): EmissionSummary {</w:t>
              <w:br/>
              <w:t xml:space="preserve">    let scope1 = 0; // Direct combustion (Natural Gas, Diesel)</w:t>
              <w:br/>
              <w:t xml:space="preserve">    let scope2 = 0; // Indirect electricity consumption</w:t>
              <w:br/>
              <w:t xml:space="preserve">    let scope3 = 0; // Value chain, transport &amp; business travel</w:t>
              <w:br/>
              <w:br/>
              <w:t xml:space="preserve">    for (const record of records) {</w:t>
              <w:br/>
              <w:t xml:space="preserve">      const kwh = this.convertToKWh(record.consumption, record.unit);</w:t>
              <w:br/>
              <w:t xml:space="preserve">      if (record.energyType === 'Electricity') {</w:t>
              <w:br/>
              <w:t xml:space="preserve">        // Standard regional grid emission factor: 0.82 kg CO2e / kWh</w:t>
              <w:br/>
              <w:t xml:space="preserve">        scope2 += (kwh * 0.82) / 1000;</w:t>
              <w:br/>
              <w:t xml:space="preserve">      } else if (record.energyType === 'Diesel') {</w:t>
              <w:br/>
              <w:t xml:space="preserve">        // Diesel fuel combustion factor: 2.68 kg CO2e / liter equivalent</w:t>
              <w:br/>
              <w:t xml:space="preserve">        scope1 += (kwh * 2.68) / 1000;</w:t>
              <w:br/>
              <w:t xml:space="preserve">      } else if (record.energyType === 'Natural Gas') {</w:t>
              <w:br/>
              <w:t xml:space="preserve">        // Natural gas combustion factor: 0.18 kg CO2e / kWh equivalent</w:t>
              <w:br/>
              <w:t xml:space="preserve">        scope1 += (kwh * 0.18) / 1000;</w:t>
              <w:br/>
              <w:t xml:space="preserve">      }</w:t>
              <w:br/>
              <w:t xml:space="preserve">    }</w:t>
              <w:br/>
              <w:t xml:space="preserve">    const total = scope1 + scope2 + scope3;</w:t>
              <w:br/>
              <w:t xml:space="preserve">    return { scope1: Number(scope1.toFixed(2)), scope2: Number(scope2.toFixed(2)), </w:t>
              <w:br/>
              <w:t xml:space="preserve">             scope3: Number(scope3.toFixed(2)), total: Number(total.toFixed(2)) };</w:t>
              <w:br/>
              <w:t xml:space="preserve">  }</w:t>
              <w:br/>
              <w:t>}</w:t>
            </w:r>
          </w:p>
        </w:tc>
      </w:tr>
    </w:tbl>
    <w:p>
      <w:pPr>
        <w:spacing w:before="0" w:after="80"/>
      </w:pPr>
    </w:p>
    <w:p>
      <w:pPr>
        <w:spacing w:before="240" w:after="80"/>
        <w:jc w:val="both"/>
      </w:pPr>
      <w:r>
        <w:rPr>
          <w:b/>
          <w:color w:val="000000"/>
          <w:sz w:val="24"/>
        </w:rPr>
        <w:t>5.2.2 Dynamic Waste Diversion &amp; Recycling Engine</w:t>
      </w:r>
    </w:p>
    <w:p>
      <w:pPr>
        <w:spacing w:line="360" w:lineRule="auto" w:before="0" w:after="160"/>
        <w:jc w:val="both"/>
      </w:pPr>
      <w:r>
        <w:rPr>
          <w:color w:val="000000"/>
          <w:sz w:val="24"/>
        </w:rPr>
        <w:t>The waste management service evaluates corporate circularity by computing the percentage of waste diverted from landfills into recycling and composting streams:</w:t>
      </w:r>
    </w:p>
    <w:p>
      <w:pPr>
        <w:spacing w:line="360" w:lineRule="auto" w:before="0" w:after="160"/>
        <w:jc w:val="both"/>
      </w:pPr>
      <w:r>
        <w:rPr>
          <w:color w:val="000000"/>
          <w:sz w:val="24"/>
        </w:rPr>
        <w:t>Mathematical Formulation:</w:t>
        <w:br/>
        <w:t>Diversion Rate (%) = ((Recycled Quantity + Composted Quantity) / Total Generated Waste) * 100</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 server/services/calculationService.ts - Waste Diversion &amp; Circularity Formulation</w:t>
              <w:br/>
              <w:t>export class WasteCalculationService {</w:t>
              <w:br/>
              <w:t xml:space="preserve">  static computeDiversionRate(records: WasteRecord[]): WasteMetrics {</w:t>
              <w:br/>
              <w:t xml:space="preserve">    let totalWaste = 0;</w:t>
              <w:br/>
              <w:t xml:space="preserve">    let recycled = 0;</w:t>
              <w:br/>
              <w:t xml:space="preserve">    let composted = 0;</w:t>
              <w:br/>
              <w:t xml:space="preserve">    let landfill = 0;</w:t>
              <w:br/>
              <w:br/>
              <w:t xml:space="preserve">    for (const r of records) {</w:t>
              <w:br/>
              <w:t xml:space="preserve">      totalWaste += r.quantity;</w:t>
              <w:br/>
              <w:t xml:space="preserve">      if (r.disposalMethod === 'Recycled') recycled += r.quantity;</w:t>
              <w:br/>
              <w:t xml:space="preserve">      else if (r.disposalMethod === 'Composted') composted += r.quantity;</w:t>
              <w:br/>
              <w:t xml:space="preserve">      else if (r.disposalMethod === 'Landfill') landfill += r.quantity;</w:t>
              <w:br/>
              <w:t xml:space="preserve">    }</w:t>
              <w:br/>
              <w:br/>
              <w:t xml:space="preserve">    const diverted = recycled + composted;</w:t>
              <w:br/>
              <w:t xml:space="preserve">    const diversionRate = totalWaste &gt; 0 ? (diverted / totalWaste) * 100 : 0;</w:t>
              <w:br/>
              <w:br/>
              <w:t xml:space="preserve">    return {</w:t>
              <w:br/>
              <w:t xml:space="preserve">      totalWaste: Number(totalWaste.toFixed(2)),</w:t>
              <w:br/>
              <w:t xml:space="preserve">      recycled: Number(recycled.toFixed(2)),</w:t>
              <w:br/>
              <w:t xml:space="preserve">      diverted: Number(diverted.toFixed(2)),</w:t>
              <w:br/>
              <w:t xml:space="preserve">      diversionRate: Number(diversionRate.toFixed(1))</w:t>
              <w:br/>
              <w:t xml:space="preserve">    };</w:t>
              <w:br/>
              <w:t xml:space="preserve">  }</w:t>
              <w:br/>
              <w:t>}</w:t>
            </w:r>
          </w:p>
        </w:tc>
      </w:tr>
    </w:tbl>
    <w:p>
      <w:pPr>
        <w:spacing w:before="0" w:after="80"/>
      </w:pPr>
    </w:p>
    <w:p>
      <w:pPr>
        <w:spacing w:before="240" w:after="80"/>
        <w:jc w:val="both"/>
      </w:pPr>
      <w:r>
        <w:rPr>
          <w:b/>
          <w:color w:val="000000"/>
          <w:sz w:val="24"/>
        </w:rPr>
        <w:t>5.2.3 Composite ESG Scoring &amp; Index Algorithm</w:t>
      </w:r>
    </w:p>
    <w:p>
      <w:pPr>
        <w:spacing w:line="360" w:lineRule="auto" w:before="0" w:after="160"/>
        <w:jc w:val="both"/>
      </w:pPr>
      <w:r>
        <w:rPr>
          <w:color w:val="000000"/>
          <w:sz w:val="24"/>
        </w:rPr>
        <w:t>The ESG calculation service aggregates multi-dimensional sustainability indicators into a normalized 0–100 index by applying weighted linear coefficients to Environmental, Social, and Governance ratings:</w:t>
      </w:r>
    </w:p>
    <w:p>
      <w:pPr>
        <w:spacing w:line="360" w:lineRule="auto" w:before="0" w:after="160"/>
        <w:jc w:val="both"/>
      </w:pPr>
      <w:r>
        <w:rPr>
          <w:color w:val="000000"/>
          <w:sz w:val="24"/>
        </w:rPr>
        <w:t>Mathematical Formulation:</w:t>
        <w:br/>
        <w:t>Composite Score = (0.50 * E_score) + (0.30 * S_score) + (0.20 * G_score)</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 server/services/calculationService.ts - Composite ESG Scoring Normalization</w:t>
              <w:br/>
              <w:t>export class ESGScoringService {</w:t>
              <w:br/>
              <w:t xml:space="preserve">  static computeCompositeScore(metric: IESGMetric): number {</w:t>
              <w:br/>
              <w:t xml:space="preserve">    const E = metric.environmentalScore || 0; // Energy, Carbon, Waste</w:t>
              <w:br/>
              <w:t xml:space="preserve">    const S = metric.socialScore || 0;        // Diversity, Safety, Community</w:t>
              <w:br/>
              <w:t xml:space="preserve">    const G = metric.governanceScore || 0;    // Board Independence, Ethics</w:t>
              <w:br/>
              <w:br/>
              <w:t xml:space="preserve">    // Formulate weighted composite ESG index</w:t>
              <w:br/>
              <w:t xml:space="preserve">    const composite = (0.50 * E) + (0.30 * S) + (0.20 * G);</w:t>
              <w:br/>
              <w:t xml:space="preserve">    return Math.min(100, Math.max(0, Math.round(composite)));</w:t>
              <w:br/>
              <w:t xml:space="preserve">  }</w:t>
              <w:br/>
              <w:t>}</w:t>
            </w:r>
          </w:p>
        </w:tc>
      </w:tr>
    </w:tbl>
    <w:p>
      <w:pPr>
        <w:spacing w:before="0" w:after="80"/>
      </w:pPr>
    </w:p>
    <w:p>
      <w:pPr>
        <w:spacing w:before="240" w:after="80"/>
        <w:jc w:val="both"/>
      </w:pPr>
      <w:r>
        <w:rPr>
          <w:b/>
          <w:color w:val="000000"/>
          <w:sz w:val="24"/>
        </w:rPr>
        <w:t>5.2.4 Robust SRV Resolution with Public DNS Override Engine</w:t>
      </w:r>
    </w:p>
    <w:p>
      <w:pPr>
        <w:spacing w:line="360" w:lineRule="auto" w:before="0" w:after="160"/>
        <w:jc w:val="both"/>
      </w:pPr>
      <w:r>
        <w:rPr>
          <w:color w:val="000000"/>
          <w:sz w:val="24"/>
        </w:rPr>
        <w:t>To eliminate local Internet Service Provider (ISP) DNS blockages that fail to resolve MongoDB Atlas SRV connection strings, the database engine overrides standard DNS lookups by binding to Google Public DNS: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 server/db/connection.ts - Resilient DNS SRV Resolution Engine</w:t>
              <w:br/>
              <w:t>import mongoose from 'mongoose';</w:t>
              <w:br/>
              <w:t>import dns from 'dns';</w:t>
              <w:br/>
              <w:br/>
              <w:t>// Force Google Public DNS (8.8.8.8) to guarantee resolution of MongoDB Atlas SRV records</w:t>
              <w:br/>
              <w:t>dns.setServers(['8.8.8.8', '8.8.4.4', '1.1.1.1']);</w:t>
              <w:br/>
              <w:t>dns.setDefaultResultOrder('ipv4first');</w:t>
              <w:br/>
              <w:br/>
              <w:t>export async function connectDatabase() {</w:t>
              <w:br/>
              <w:t xml:space="preserve">  const uri = process.env.MONGODB_URI;</w:t>
              <w:br/>
              <w:t xml:space="preserve">  if (!uri) throw new Error('MONGODB_URI environment variable is missing.');</w:t>
              <w:br/>
              <w:br/>
              <w:t xml:space="preserve">  try {</w:t>
              <w:br/>
              <w:t xml:space="preserve">    await mongoose.connect(uri, {</w:t>
              <w:br/>
              <w:t xml:space="preserve">      serverSelectionTimeoutMS: 15000,</w:t>
              <w:br/>
              <w:t xml:space="preserve">      maxPoolSize: 10,</w:t>
              <w:br/>
              <w:t xml:space="preserve">    });</w:t>
              <w:br/>
              <w:t xml:space="preserve">    console.log('[DB] Successfully connected to MongoDB Atlas Cloud');</w:t>
              <w:br/>
              <w:t xml:space="preserve">  } catch (err) {</w:t>
              <w:br/>
              <w:t xml:space="preserve">    console.error('[DB] Cloud connection failed, activating fallback:', err);</w:t>
              <w:br/>
              <w:t xml:space="preserve">    throw err;</w:t>
              <w:br/>
              <w:t xml:space="preserve">  }</w:t>
              <w:br/>
              <w:t>}</w:t>
            </w:r>
          </w:p>
        </w:tc>
      </w:tr>
    </w:tbl>
    <w:p>
      <w:pPr>
        <w:spacing w:before="0" w:after="80"/>
      </w:pPr>
    </w:p>
    <w:p>
      <w:pPr>
        <w:spacing w:before="240" w:after="80"/>
        <w:jc w:val="both"/>
      </w:pPr>
      <w:r>
        <w:rPr>
          <w:b/>
          <w:color w:val="000000"/>
          <w:sz w:val="24"/>
        </w:rPr>
        <w:t>5.2.5 Cryptographic Authentication &amp; RBAC Guards</w:t>
      </w:r>
    </w:p>
    <w:p>
      <w:pPr>
        <w:spacing w:line="360" w:lineRule="auto" w:before="0" w:after="160"/>
        <w:jc w:val="both"/>
      </w:pPr>
      <w:r>
        <w:rPr>
          <w:color w:val="000000"/>
          <w:sz w:val="24"/>
        </w:rPr>
        <w:t>API route security is enforced via stateless JWT verification and Role-Based Access Control guards: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 server/services/authService.ts - Cryptographic JWT &amp; RBAC Middleware</w:t>
              <w:br/>
              <w:t>import { Request, Response, NextFunction } from 'express';</w:t>
              <w:br/>
              <w:t>import jwt from 'jsonwebtoken';</w:t>
              <w:br/>
              <w:br/>
              <w:t>export function requireAuth(req: Request, res: Response, next: NextFunction) {</w:t>
              <w:br/>
              <w:t xml:space="preserve">  const authHeader = req.headers.authorization;</w:t>
              <w:br/>
              <w:t xml:space="preserve">  if (!authHeader?.startsWith('Bearer ')) {</w:t>
              <w:br/>
              <w:t xml:space="preserve">    return res.status(401).json({ success: false, error: 'Unauthorized: Missing token' });</w:t>
              <w:br/>
              <w:t xml:space="preserve">  }</w:t>
              <w:br/>
              <w:br/>
              <w:t xml:space="preserve">  const token = authHeader.split(' ')[1];</w:t>
              <w:br/>
              <w:t xml:space="preserve">  try {</w:t>
              <w:br/>
              <w:t xml:space="preserve">    const decoded = jwt.verify(token, process.env.JWT_SECRET || 'secret');</w:t>
              <w:br/>
              <w:t xml:space="preserve">    (req as any).user = decoded;</w:t>
              <w:br/>
              <w:t xml:space="preserve">    return next();</w:t>
              <w:br/>
              <w:t xml:space="preserve">  } catch (err) {</w:t>
              <w:br/>
              <w:t xml:space="preserve">    return res.status(401).json({ success: false, error: 'Invalid or expired session token.' });</w:t>
              <w:br/>
              <w:t xml:space="preserve">  }</w:t>
              <w:br/>
              <w:t>}</w:t>
            </w:r>
          </w:p>
        </w:tc>
      </w:tr>
    </w:tbl>
    <w:p>
      <w:pPr>
        <w:spacing w:before="0" w:after="80"/>
      </w:pPr>
    </w:p>
    <w:p>
      <w:pPr>
        <w:spacing w:before="320" w:after="120"/>
        <w:jc w:val="both"/>
      </w:pPr>
      <w:r>
        <w:rPr>
          <w:b/>
          <w:color w:val="000000"/>
          <w:sz w:val="28"/>
        </w:rPr>
        <w:t>5.3 SCREENSHOTS OF THE ACTUAL APPLICATION</w:t>
      </w:r>
    </w:p>
    <w:p>
      <w:pPr>
        <w:spacing w:line="360" w:lineRule="auto" w:before="0" w:after="160"/>
        <w:jc w:val="both"/>
      </w:pPr>
      <w:r>
        <w:rPr>
          <w:color w:val="000000"/>
          <w:sz w:val="24"/>
        </w:rPr>
        <w:t>The following high-resolution figures document the live EcoTrack ESG platform operating with active MongoDB Atlas cloud synchronization:</w:t>
      </w:r>
    </w:p>
    <w:p>
      <w:pPr>
        <w:spacing w:before="240" w:after="8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fig_1_dashboard.png"/>
                    <pic:cNvPicPr/>
                  </pic:nvPicPr>
                  <pic:blipFill>
                    <a:blip r:embed="rId16"/>
                    <a:stretch>
                      <a:fillRect/>
                    </a:stretch>
                  </pic:blipFill>
                  <pic:spPr>
                    <a:xfrm>
                      <a:off x="0" y="0"/>
                      <a:ext cx="5486400" cy="3086100"/>
                    </a:xfrm>
                    <a:prstGeom prst="rect"/>
                  </pic:spPr>
                </pic:pic>
              </a:graphicData>
            </a:graphic>
          </wp:inline>
        </w:drawing>
      </w:r>
    </w:p>
    <w:p>
      <w:pPr>
        <w:spacing w:before="120" w:after="320"/>
        <w:jc w:val="center"/>
      </w:pPr>
      <w:r>
        <w:rPr>
          <w:b/>
          <w:color w:val="000000"/>
          <w:sz w:val="22"/>
        </w:rPr>
        <w:t>Figure 1: Executive ESG Dashboard -- KPI Metric Cards, Health Score, and Carbon Trends</w:t>
      </w:r>
    </w:p>
    <w:p>
      <w:pPr>
        <w:spacing w:before="240" w:after="8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fig_2_energy_table.png"/>
                    <pic:cNvPicPr/>
                  </pic:nvPicPr>
                  <pic:blipFill>
                    <a:blip r:embed="rId17"/>
                    <a:stretch>
                      <a:fillRect/>
                    </a:stretch>
                  </pic:blipFill>
                  <pic:spPr>
                    <a:xfrm>
                      <a:off x="0" y="0"/>
                      <a:ext cx="5486400" cy="3086100"/>
                    </a:xfrm>
                    <a:prstGeom prst="rect"/>
                  </pic:spPr>
                </pic:pic>
              </a:graphicData>
            </a:graphic>
          </wp:inline>
        </w:drawing>
      </w:r>
    </w:p>
    <w:p>
      <w:pPr>
        <w:spacing w:before="120" w:after="320"/>
        <w:jc w:val="center"/>
      </w:pPr>
      <w:r>
        <w:rPr>
          <w:b/>
          <w:color w:val="000000"/>
          <w:sz w:val="22"/>
        </w:rPr>
        <w:t>Figure 2: Energy Tracking &amp; Ingestion Interface -- Live Filtered Record Table</w:t>
      </w:r>
    </w:p>
    <w:p>
      <w:pPr>
        <w:spacing w:before="240" w:after="80"/>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fig_3_energy_form.png"/>
                    <pic:cNvPicPr/>
                  </pic:nvPicPr>
                  <pic:blipFill>
                    <a:blip r:embed="rId18"/>
                    <a:stretch>
                      <a:fillRect/>
                    </a:stretch>
                  </pic:blipFill>
                  <pic:spPr>
                    <a:xfrm>
                      <a:off x="0" y="0"/>
                      <a:ext cx="5486400" cy="3086100"/>
                    </a:xfrm>
                    <a:prstGeom prst="rect"/>
                  </pic:spPr>
                </pic:pic>
              </a:graphicData>
            </a:graphic>
          </wp:inline>
        </w:drawing>
      </w:r>
    </w:p>
    <w:p>
      <w:pPr>
        <w:spacing w:before="120" w:after="320"/>
        <w:jc w:val="center"/>
      </w:pPr>
      <w:r>
        <w:rPr>
          <w:b/>
          <w:color w:val="000000"/>
          <w:sz w:val="22"/>
        </w:rPr>
        <w:t>Figure 3: Energy Record Logging Modal -- Unit &amp; Cost Validation Interface</w:t>
      </w:r>
    </w:p>
    <w:p>
      <w:pPr>
        <w:spacing w:before="240" w:after="80"/>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fig_4_carbon.png"/>
                    <pic:cNvPicPr/>
                  </pic:nvPicPr>
                  <pic:blipFill>
                    <a:blip r:embed="rId19"/>
                    <a:stretch>
                      <a:fillRect/>
                    </a:stretch>
                  </pic:blipFill>
                  <pic:spPr>
                    <a:xfrm>
                      <a:off x="0" y="0"/>
                      <a:ext cx="5486400" cy="3086100"/>
                    </a:xfrm>
                    <a:prstGeom prst="rect"/>
                  </pic:spPr>
                </pic:pic>
              </a:graphicData>
            </a:graphic>
          </wp:inline>
        </w:drawing>
      </w:r>
    </w:p>
    <w:p>
      <w:pPr>
        <w:spacing w:before="120" w:after="320"/>
        <w:jc w:val="center"/>
      </w:pPr>
      <w:r>
        <w:rPr>
          <w:b/>
          <w:color w:val="000000"/>
          <w:sz w:val="22"/>
        </w:rPr>
        <w:t>Figure 4: Greenhouse Gas Carbon Footprint Page -- Scope 1, 2, and 3 Emissions Breakdown</w:t>
      </w:r>
    </w:p>
    <w:p>
      <w:pPr>
        <w:spacing w:before="240" w:after="80"/>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fig_5_waste.png"/>
                    <pic:cNvPicPr/>
                  </pic:nvPicPr>
                  <pic:blipFill>
                    <a:blip r:embed="rId20"/>
                    <a:stretch>
                      <a:fillRect/>
                    </a:stretch>
                  </pic:blipFill>
                  <pic:spPr>
                    <a:xfrm>
                      <a:off x="0" y="0"/>
                      <a:ext cx="5486400" cy="3086100"/>
                    </a:xfrm>
                    <a:prstGeom prst="rect"/>
                  </pic:spPr>
                </pic:pic>
              </a:graphicData>
            </a:graphic>
          </wp:inline>
        </w:drawing>
      </w:r>
    </w:p>
    <w:p>
      <w:pPr>
        <w:spacing w:before="120" w:after="320"/>
        <w:jc w:val="center"/>
      </w:pPr>
      <w:r>
        <w:rPr>
          <w:b/>
          <w:color w:val="000000"/>
          <w:sz w:val="22"/>
        </w:rPr>
        <w:t>Figure 5: Waste Stream &amp; Circularity Interface -- Recycling Diversion Rate Metrics</w:t>
      </w:r>
    </w:p>
    <w:p>
      <w:pPr>
        <w:spacing w:before="240" w:after="80"/>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fig_6_esg_metrics.png"/>
                    <pic:cNvPicPr/>
                  </pic:nvPicPr>
                  <pic:blipFill>
                    <a:blip r:embed="rId21"/>
                    <a:stretch>
                      <a:fillRect/>
                    </a:stretch>
                  </pic:blipFill>
                  <pic:spPr>
                    <a:xfrm>
                      <a:off x="0" y="0"/>
                      <a:ext cx="5486400" cy="3086100"/>
                    </a:xfrm>
                    <a:prstGeom prst="rect"/>
                  </pic:spPr>
                </pic:pic>
              </a:graphicData>
            </a:graphic>
          </wp:inline>
        </w:drawing>
      </w:r>
    </w:p>
    <w:p>
      <w:pPr>
        <w:spacing w:before="120" w:after="320"/>
        <w:jc w:val="center"/>
      </w:pPr>
      <w:r>
        <w:rPr>
          <w:b/>
          <w:color w:val="000000"/>
          <w:sz w:val="22"/>
        </w:rPr>
        <w:t>Figure 6: ESG Historical Scoring &amp; Performance Metrics Analytics</w:t>
      </w:r>
    </w:p>
    <w:p>
      <w:pPr>
        <w:spacing w:before="240" w:after="80"/>
        <w:jc w:val="center"/>
      </w:pPr>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fig_7_goals.png"/>
                    <pic:cNvPicPr/>
                  </pic:nvPicPr>
                  <pic:blipFill>
                    <a:blip r:embed="rId22"/>
                    <a:stretch>
                      <a:fillRect/>
                    </a:stretch>
                  </pic:blipFill>
                  <pic:spPr>
                    <a:xfrm>
                      <a:off x="0" y="0"/>
                      <a:ext cx="5486400" cy="3086100"/>
                    </a:xfrm>
                    <a:prstGeom prst="rect"/>
                  </pic:spPr>
                </pic:pic>
              </a:graphicData>
            </a:graphic>
          </wp:inline>
        </w:drawing>
      </w:r>
    </w:p>
    <w:p>
      <w:pPr>
        <w:spacing w:before="120" w:after="320"/>
        <w:jc w:val="center"/>
      </w:pPr>
      <w:r>
        <w:rPr>
          <w:b/>
          <w:color w:val="000000"/>
          <w:sz w:val="22"/>
        </w:rPr>
        <w:t>Figure 7: Sustainability Goals and Milestone Progress Tracking</w:t>
      </w:r>
    </w:p>
    <w:p>
      <w:pPr>
        <w:spacing w:before="240" w:after="80"/>
        <w:jc w:val="center"/>
      </w:pPr>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fig_8_settings.png"/>
                    <pic:cNvPicPr/>
                  </pic:nvPicPr>
                  <pic:blipFill>
                    <a:blip r:embed="rId23"/>
                    <a:stretch>
                      <a:fillRect/>
                    </a:stretch>
                  </pic:blipFill>
                  <pic:spPr>
                    <a:xfrm>
                      <a:off x="0" y="0"/>
                      <a:ext cx="5486400" cy="3086100"/>
                    </a:xfrm>
                    <a:prstGeom prst="rect"/>
                  </pic:spPr>
                </pic:pic>
              </a:graphicData>
            </a:graphic>
          </wp:inline>
        </w:drawing>
      </w:r>
    </w:p>
    <w:p>
      <w:pPr>
        <w:spacing w:before="120" w:after="320"/>
        <w:jc w:val="center"/>
      </w:pPr>
      <w:r>
        <w:rPr>
          <w:b/>
          <w:color w:val="000000"/>
          <w:sz w:val="22"/>
        </w:rPr>
        <w:t>Figure 8: System Configuration &amp; MongoDB Atlas Cloud Connectivity Status</w:t>
      </w:r>
    </w:p>
    <w:p>
      <w:pPr>
        <w:spacing w:before="240" w:after="80"/>
        <w:jc w:val="center"/>
      </w:pPr>
      <w:r>
        <w:drawing>
          <wp:inline xmlns:a="http://schemas.openxmlformats.org/drawingml/2006/main" xmlns:pic="http://schemas.openxmlformats.org/drawingml/2006/picture">
            <wp:extent cx="5486400" cy="3086100"/>
            <wp:docPr id="15" name="Picture 15"/>
            <wp:cNvGraphicFramePr>
              <a:graphicFrameLocks noChangeAspect="1"/>
            </wp:cNvGraphicFramePr>
            <a:graphic>
              <a:graphicData uri="http://schemas.openxmlformats.org/drawingml/2006/picture">
                <pic:pic>
                  <pic:nvPicPr>
                    <pic:cNvPr id="0" name="fig_9_atlas_console.png"/>
                    <pic:cNvPicPr/>
                  </pic:nvPicPr>
                  <pic:blipFill>
                    <a:blip r:embed="rId24"/>
                    <a:stretch>
                      <a:fillRect/>
                    </a:stretch>
                  </pic:blipFill>
                  <pic:spPr>
                    <a:xfrm>
                      <a:off x="0" y="0"/>
                      <a:ext cx="5486400" cy="3086100"/>
                    </a:xfrm>
                    <a:prstGeom prst="rect"/>
                  </pic:spPr>
                </pic:pic>
              </a:graphicData>
            </a:graphic>
          </wp:inline>
        </w:drawing>
      </w:r>
    </w:p>
    <w:p>
      <w:pPr>
        <w:spacing w:before="120" w:after="320"/>
        <w:jc w:val="center"/>
      </w:pPr>
      <w:r>
        <w:rPr>
          <w:b/>
          <w:color w:val="000000"/>
          <w:sz w:val="22"/>
        </w:rPr>
        <w:t>Figure 9: Live MongoDB Atlas Cluster Management Console (AWS Mumbai ap-south-1)</w:t>
      </w:r>
    </w:p>
    <w:p>
      <w:r>
        <w:br w:type="page"/>
      </w:r>
    </w:p>
    <w:p>
      <w:pPr>
        <w:spacing w:before="360" w:after="80"/>
        <w:jc w:val="center"/>
      </w:pPr>
      <w:r>
        <w:rPr>
          <w:b/>
          <w:color w:val="000000"/>
          <w:sz w:val="32"/>
        </w:rPr>
        <w:t>CHAPTER 6</w:t>
      </w:r>
    </w:p>
    <w:p>
      <w:pPr>
        <w:spacing w:before="0" w:after="360"/>
        <w:jc w:val="center"/>
      </w:pPr>
      <w:r>
        <w:rPr>
          <w:b/>
          <w:color w:val="000000"/>
          <w:sz w:val="30"/>
        </w:rPr>
        <w:t>CONCLUSION &amp; FUTURE WORK</w:t>
      </w:r>
    </w:p>
    <w:p>
      <w:pPr>
        <w:spacing w:line="360" w:lineRule="auto" w:before="0" w:after="160"/>
        <w:jc w:val="both"/>
      </w:pPr>
      <w:r>
        <w:rPr>
          <w:color w:val="000000"/>
          <w:sz w:val="24"/>
        </w:rPr>
        <w:t>This chapter deals with the conclusive evaluation of the EcoTrack platform against its target objectives, summarizing project achievements and identifying prospective technological enhancements.</w:t>
      </w:r>
    </w:p>
    <w:p>
      <w:pPr>
        <w:spacing w:before="320" w:after="120"/>
        <w:jc w:val="both"/>
      </w:pPr>
      <w:r>
        <w:rPr>
          <w:b/>
          <w:color w:val="000000"/>
          <w:sz w:val="28"/>
        </w:rPr>
        <w:t>6.1 CONCLUSION</w:t>
      </w:r>
    </w:p>
    <w:p>
      <w:pPr>
        <w:spacing w:line="360" w:lineRule="auto" w:before="0" w:after="160"/>
        <w:jc w:val="both"/>
      </w:pPr>
      <w:r>
        <w:rPr>
          <w:color w:val="000000"/>
          <w:sz w:val="24"/>
        </w:rPr>
        <w:t>The successful engineering, integration, and cloud deployment of the EcoTrack ESG Sustainability Management Platform demonstrates that modern, cloud-connected web architectures can revolutionize enterprise environmental data governance. By replacing fragile spreadsheets and prohibitively expensive ERP modules with a unified, reactive MERN application, EcoTrack provides corporations with an auditable single source of truth for carbon accounting, resource consumption, and governance disclosures.</w:t>
      </w:r>
    </w:p>
    <w:p>
      <w:pPr>
        <w:spacing w:line="360" w:lineRule="auto" w:before="0" w:after="160"/>
        <w:jc w:val="both"/>
      </w:pPr>
      <w:r>
        <w:rPr>
          <w:color w:val="000000"/>
          <w:sz w:val="24"/>
        </w:rPr>
        <w:t>Key accomplishments established and verified in this work include:</w:t>
      </w:r>
    </w:p>
    <w:p>
      <w:pPr>
        <w:spacing w:line="360" w:lineRule="auto" w:before="0" w:after="160"/>
        <w:jc w:val="both"/>
      </w:pPr>
      <w:r>
        <w:rPr>
          <w:color w:val="000000"/>
          <w:sz w:val="24"/>
        </w:rPr>
        <w:t>• Reactive Full-Stack Architecture: Successfully developed a Single Page Application in React 19 and Tailwind CSS v4, backed by an Express 4 REST API with full TypeScript end-to-end type safety.</w:t>
      </w:r>
    </w:p>
    <w:p>
      <w:pPr>
        <w:spacing w:line="360" w:lineRule="auto" w:before="0" w:after="160"/>
        <w:jc w:val="both"/>
      </w:pPr>
      <w:r>
        <w:rPr>
          <w:color w:val="000000"/>
          <w:sz w:val="24"/>
        </w:rPr>
        <w:t>• Automated Calculation Pipelines: Verified instant mathematical conversion of energy telemetry into Scope 1, 2, and 3 GHG emissions (tCO2e) and live circular waste diversion percentages in sub-100ms API response times.</w:t>
      </w:r>
    </w:p>
    <w:p>
      <w:pPr>
        <w:spacing w:line="360" w:lineRule="auto" w:before="0" w:after="160"/>
        <w:jc w:val="both"/>
      </w:pPr>
      <w:r>
        <w:rPr>
          <w:color w:val="000000"/>
          <w:sz w:val="24"/>
        </w:rPr>
        <w:t>• Cloud Database Resiliency: Integrated a managed MongoDB Atlas cloud cluster (AWS Mumbai ap-south-1) with custom Google Public DNS overrides, ensuring fault-tolerant cloud synchronization.</w:t>
      </w:r>
    </w:p>
    <w:p>
      <w:pPr>
        <w:spacing w:line="360" w:lineRule="auto" w:before="0" w:after="160"/>
        <w:jc w:val="both"/>
      </w:pPr>
      <w:r>
        <w:rPr>
          <w:color w:val="000000"/>
          <w:sz w:val="24"/>
        </w:rPr>
        <w:t>• Audit-Ready Vector PDF Generation: Implemented a native PDFKit vector compiler capable of compiling and streaming formatted ESG compliance reports on demand.</w:t>
      </w:r>
    </w:p>
    <w:p>
      <w:pPr>
        <w:spacing w:line="360" w:lineRule="auto" w:before="0" w:after="160"/>
        <w:jc w:val="both"/>
      </w:pPr>
      <w:r>
        <w:rPr>
          <w:color w:val="000000"/>
          <w:sz w:val="24"/>
        </w:rPr>
        <w:t>• Cryptographic Security: Implemented robust bcrypt password encryption and stateless JSON Web Tokens to enforce role-based access control across four operational personas.</w:t>
      </w:r>
    </w:p>
    <w:p>
      <w:pPr>
        <w:spacing w:before="320" w:after="120"/>
        <w:jc w:val="both"/>
      </w:pPr>
      <w:r>
        <w:rPr>
          <w:b/>
          <w:color w:val="000000"/>
          <w:sz w:val="28"/>
        </w:rPr>
        <w:t>6.2 FUTURE ENHANCEMENTS</w:t>
      </w:r>
    </w:p>
    <w:p>
      <w:pPr>
        <w:spacing w:line="360" w:lineRule="auto" w:before="0" w:after="160"/>
        <w:jc w:val="both"/>
      </w:pPr>
      <w:r>
        <w:rPr>
          <w:color w:val="000000"/>
          <w:sz w:val="24"/>
        </w:rPr>
        <w:t>Future development iterations can expand the enterprise capabilities of EcoTrack along several high-impact trajectories:</w:t>
      </w:r>
    </w:p>
    <w:p>
      <w:pPr>
        <w:spacing w:line="360" w:lineRule="auto" w:before="0" w:after="160"/>
        <w:jc w:val="both"/>
      </w:pPr>
      <w:r>
        <w:rPr>
          <w:color w:val="000000"/>
          <w:sz w:val="24"/>
        </w:rPr>
        <w:t>• Direct IoT Smart Meter Integration: Incorporating MQTT and WebSocket communication protocols to ingest real-time electrical smart meter telemetry directly from industrial facility sensors without human intervention.</w:t>
      </w:r>
    </w:p>
    <w:p>
      <w:pPr>
        <w:spacing w:line="360" w:lineRule="auto" w:before="0" w:after="160"/>
        <w:jc w:val="both"/>
      </w:pPr>
      <w:r>
        <w:rPr>
          <w:color w:val="000000"/>
          <w:sz w:val="24"/>
        </w:rPr>
        <w:t>• AI Predictive Carbon Forecasting: Training supervised machine learning regression models (e.g., Long Short-Term Memory [LSTM] networks or XGBoost) to forecast future facility emissions and identify optimal energy conservation investments.</w:t>
      </w:r>
    </w:p>
    <w:p>
      <w:pPr>
        <w:spacing w:line="360" w:lineRule="auto" w:before="0" w:after="160"/>
        <w:jc w:val="both"/>
      </w:pPr>
      <w:r>
        <w:rPr>
          <w:color w:val="000000"/>
          <w:sz w:val="24"/>
        </w:rPr>
        <w:t>• Blockchain Verification for Anti-Greenwashing: Generating cryptographic SHA-256 hash proofs of quarterly sustainability reports and committing them to an immutable blockchain ledger, ensuring tamper-resistant auditability for external regulators.</w:t>
      </w:r>
    </w:p>
    <w:p>
      <w:pPr>
        <w:spacing w:line="360" w:lineRule="auto" w:before="0" w:after="160"/>
        <w:jc w:val="both"/>
      </w:pPr>
      <w:r>
        <w:rPr>
          <w:color w:val="000000"/>
          <w:sz w:val="24"/>
        </w:rPr>
        <w:t>• Native Mobile Telemetry Apps: Packaging the web application into cross-platform native iOS and Android apps using Capacitor to support offline barcode scanning and facility waste auditing.</w:t>
      </w:r>
    </w:p>
    <w:p>
      <w:r>
        <w:br w:type="page"/>
      </w:r>
    </w:p>
    <w:p>
      <w:pPr>
        <w:spacing w:before="360" w:after="80"/>
        <w:jc w:val="center"/>
      </w:pPr>
      <w:r>
        <w:rPr>
          <w:b/>
          <w:color w:val="000000"/>
          <w:sz w:val="32"/>
        </w:rPr>
        <w:t>CHAPTER APPENDIX</w:t>
      </w:r>
    </w:p>
    <w:p>
      <w:pPr>
        <w:spacing w:before="0" w:after="360"/>
        <w:jc w:val="center"/>
      </w:pPr>
      <w:r>
        <w:rPr>
          <w:b/>
          <w:color w:val="000000"/>
          <w:sz w:val="30"/>
        </w:rPr>
        <w:t>SOURCE CODE &amp; CONFIGURATIONS</w:t>
      </w:r>
    </w:p>
    <w:p>
      <w:pPr>
        <w:spacing w:line="360" w:lineRule="auto" w:before="0" w:after="160"/>
        <w:jc w:val="both"/>
      </w:pPr>
      <w:r>
        <w:rPr>
          <w:color w:val="000000"/>
          <w:sz w:val="24"/>
        </w:rPr>
        <w:t>This appendix contains the core configuration files, server bootstrap scripts, Mongoose schemas, and REST API controller implementations underpinning the EcoTrack platform.</w:t>
      </w:r>
    </w:p>
    <w:p>
      <w:pPr>
        <w:spacing w:before="320" w:after="120"/>
        <w:jc w:val="both"/>
      </w:pPr>
      <w:r>
        <w:rPr>
          <w:b/>
          <w:color w:val="000000"/>
          <w:sz w:val="28"/>
        </w:rPr>
        <w:t>1. Project Structure</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EcoTrack-ESG-Platform/</w:t>
              <w:br/>
              <w:t>├── package.json</w:t>
              <w:br/>
              <w:t>├── tsconfig.json</w:t>
              <w:br/>
              <w:t>├── vite.config.ts</w:t>
              <w:br/>
              <w:t>├── .env</w:t>
              <w:br/>
              <w:t>├── server/</w:t>
              <w:br/>
              <w:t>│   ├── app.ts                  # Main Express Server &amp; Route Registration</w:t>
              <w:br/>
              <w:t>│   ├── db/</w:t>
              <w:br/>
              <w:t>│   │   ├── connection.ts       # MongoDB Atlas Connection &amp; DNS Resolver</w:t>
              <w:br/>
              <w:t>│   │   └── dal.ts              # Data Access Layer &amp; MongoDB Queries</w:t>
              <w:br/>
              <w:t>│   ├── models/</w:t>
              <w:br/>
              <w:t>│   │   └── schemas.ts          # Mongoose Schemas (User, Energy, Emissions, Waste, etc.)</w:t>
              <w:br/>
              <w:t>│   ├── routes/</w:t>
              <w:br/>
              <w:t>│   │   ├── authRoutes.ts       # Authentication, Login &amp; Registration Routes</w:t>
              <w:br/>
              <w:t>│   │   ├── energyRoutes.ts     # Energy CRUD &amp; Filter Routes</w:t>
              <w:br/>
              <w:t>│   │   ├── emissionRoutes.ts   # GHG Scope 1, 2, 3 Accounting Routes</w:t>
              <w:br/>
              <w:t>│   │   ├── wasteRoutes.ts      # Waste &amp; Recycling Diversion Routes</w:t>
              <w:br/>
              <w:t>│   │   ├── esgRoutes.ts        # Composite ESG Scoring Routes</w:t>
              <w:br/>
              <w:t>│   │   ├── goalRoutes.ts       # Sustainability Milestone Routes</w:t>
              <w:br/>
              <w:t>│   │   ├── dashboardRoutes.ts  # Executive KPI Aggregation Routes</w:t>
              <w:br/>
              <w:t>│   │   ├── reportRoutes.ts     # PDF Generation &amp; Download Routes</w:t>
              <w:br/>
              <w:t>│   │   └── systemRoutes.ts     # Diagnostics &amp; Connection Health Routes</w:t>
              <w:br/>
              <w:t>│   ├── services/</w:t>
              <w:br/>
              <w:t>│   │   ├── authService.ts      # Bcrypt &amp; JWT verification logic</w:t>
              <w:br/>
              <w:t>│   │   ├── calculationService.ts # GHG carbon &amp; ESG math algorithms</w:t>
              <w:br/>
              <w:t>│   │   └── pdfService.ts       # Vector PDF report generation engine</w:t>
              <w:br/>
              <w:t>│   └── seed/</w:t>
              <w:br/>
              <w:t>│       └── seedData.ts         # Realistic ESG Seed Generator</w:t>
              <w:br/>
              <w:t>└── src/</w:t>
              <w:br/>
              <w:t xml:space="preserve">    ├── App.tsx                 # Main Application Layout &amp; Ambient Blob Layer</w:t>
              <w:br/>
              <w:t xml:space="preserve">    ├── index.css               # Glassmorphism Utilities &amp; Dark Theme Design</w:t>
              <w:br/>
              <w:t xml:space="preserve">    ├── components/             # Reusable UI (KPICard, ChartCard, DataTable, Header)</w:t>
              <w:br/>
              <w:t xml:space="preserve">    ├── pages/                  # 8 Core Pages (Overview, Energy, Carbon, Waste, ESG, Goals, Reports, Settings)</w:t>
              <w:br/>
              <w:t xml:space="preserve">    ├── utils/</w:t>
              <w:br/>
              <w:t xml:space="preserve">    │   └── chartTheme.ts       # Centralized Recharts Dark Palette Theme</w:t>
              <w:br/>
              <w:t xml:space="preserve">    └── services/</w:t>
              <w:br/>
              <w:t xml:space="preserve">        └── api.ts              # Frontend HTTP Client with cleanParams() Helper</w:t>
            </w:r>
          </w:p>
        </w:tc>
      </w:tr>
    </w:tbl>
    <w:p>
      <w:pPr>
        <w:spacing w:before="0" w:after="80"/>
      </w:pPr>
    </w:p>
    <w:p>
      <w:pPr>
        <w:spacing w:before="320" w:after="120"/>
        <w:jc w:val="both"/>
      </w:pPr>
      <w:r>
        <w:rPr>
          <w:b/>
          <w:color w:val="000000"/>
          <w:sz w:val="28"/>
        </w:rPr>
        <w:t>2. Backend Package Installation</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 Terminal commands for installing core dependencies</w:t>
              <w:br/>
              <w:t>npm install express mongoose dotenv cors bcryptjs jsonwebtoken zod recharts lucide-react pdfkit</w:t>
              <w:br/>
              <w:t># Install TypeScript compilers and type definitions</w:t>
              <w:br/>
              <w:t>npm install --save-dev typescript tsx @types/express @types/mongoose @types/jsonwebtoken @types/bcryptjs @types/cors @types/node</w:t>
            </w:r>
          </w:p>
        </w:tc>
      </w:tr>
    </w:tbl>
    <w:p>
      <w:pPr>
        <w:spacing w:before="0" w:after="80"/>
      </w:pPr>
    </w:p>
    <w:p>
      <w:pPr>
        <w:spacing w:before="320" w:after="120"/>
        <w:jc w:val="both"/>
      </w:pPr>
      <w:r>
        <w:rPr>
          <w:b/>
          <w:color w:val="000000"/>
          <w:sz w:val="28"/>
        </w:rPr>
        <w:t>3. Database Connection (server/db/connection.ts)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import mongoose from 'mongoose';</w:t>
              <w:br/>
              <w:t>import dns from 'dns';</w:t>
              <w:br/>
              <w:br/>
              <w:t>// Force Google Public DNS to resolve SRV records on all networks</w:t>
              <w:br/>
              <w:t>dns.setServers(['8.8.8.8', '8.8.4.4', '1.1.1.1']);</w:t>
              <w:br/>
              <w:t>dns.setDefaultResultOrder('ipv4first');</w:t>
              <w:br/>
              <w:br/>
              <w:t>export async function connectDatabase() {</w:t>
              <w:br/>
              <w:t xml:space="preserve">  const uri = process.env.MONGODB_URI;</w:t>
              <w:br/>
              <w:t xml:space="preserve">  if (!uri) throw new Error('MONGODB_URI environment variable is missing.');</w:t>
              <w:br/>
              <w:br/>
              <w:t xml:space="preserve">  try {</w:t>
              <w:br/>
              <w:t xml:space="preserve">    await mongoose.connect(uri, { serverSelectionTimeoutMS: 15000 });</w:t>
              <w:br/>
              <w:t xml:space="preserve">    console.log('[DB] Successfully connected to MongoDB Atlas');</w:t>
              <w:br/>
              <w:t xml:space="preserve">  } catch (err) {</w:t>
              <w:br/>
              <w:t xml:space="preserve">    console.error('[DB] Connection error:', err);</w:t>
              <w:br/>
              <w:t xml:space="preserve">    throw err;</w:t>
              <w:br/>
              <w:t xml:space="preserve">  }</w:t>
              <w:br/>
              <w:t>}</w:t>
            </w:r>
          </w:p>
        </w:tc>
      </w:tr>
    </w:tbl>
    <w:p>
      <w:pPr>
        <w:spacing w:before="0" w:after="80"/>
      </w:pPr>
    </w:p>
    <w:p>
      <w:pPr>
        <w:spacing w:before="320" w:after="120"/>
        <w:jc w:val="both"/>
      </w:pPr>
      <w:r>
        <w:rPr>
          <w:b/>
          <w:color w:val="000000"/>
          <w:sz w:val="28"/>
        </w:rPr>
        <w:t>4. Environment Variables (.env)</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PORT=3000</w:t>
              <w:br/>
              <w:t>MONGODB_URI=mongodb+srv://abdulrahman110627_db_user:ZiiEZVZDSZymjYO3@cluster0.tnpfcan.mongodb.net/ecotrack?retryWrites=true&amp;w=majority</w:t>
              <w:br/>
              <w:t>JWT_SECRET=ecotrack_super_secure_jwt_secret_key_2026!</w:t>
              <w:br/>
              <w:t>NODE_ENV=development</w:t>
            </w:r>
          </w:p>
        </w:tc>
      </w:tr>
    </w:tbl>
    <w:p>
      <w:pPr>
        <w:spacing w:before="0" w:after="80"/>
      </w:pPr>
    </w:p>
    <w:p>
      <w:pPr>
        <w:spacing w:before="320" w:after="120"/>
        <w:jc w:val="both"/>
      </w:pPr>
      <w:r>
        <w:rPr>
          <w:b/>
          <w:color w:val="000000"/>
          <w:sz w:val="28"/>
        </w:rPr>
        <w:t>5. User Model (server/models/schemas.ts)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import { Schema, Document } from 'mongoose';</w:t>
              <w:br/>
              <w:br/>
              <w:t>export interface IUser extends Document {</w:t>
              <w:br/>
              <w:t xml:space="preserve">  name: string;</w:t>
              <w:br/>
              <w:t xml:space="preserve">  email: string;</w:t>
              <w:br/>
              <w:t xml:space="preserve">  passwordHash: string;</w:t>
              <w:br/>
              <w:t xml:space="preserve">  role: 'Admin' | 'Manager' | 'Employee' | 'Auditor';</w:t>
              <w:br/>
              <w:t xml:space="preserve">  organizationId: string;</w:t>
              <w:br/>
              <w:t xml:space="preserve">  isActive: boolean;</w:t>
              <w:br/>
              <w:t>}</w:t>
              <w:br/>
              <w:br/>
              <w:t>export const UserSchema = new Schema&lt;IUser&gt;({</w:t>
              <w:br/>
              <w:t xml:space="preserve">  name: { type: String, required: true, trim: true },</w:t>
              <w:br/>
              <w:t xml:space="preserve">  email: { type: String, required: true, unique: true, lowercase: true, trim: true },</w:t>
              <w:br/>
              <w:t xml:space="preserve">  passwordHash: { type: String, required: true },</w:t>
              <w:br/>
              <w:t xml:space="preserve">  role: { type: String, enum: ['Admin', 'Manager', 'Employee', 'Auditor'], default: 'Employee' },</w:t>
              <w:br/>
              <w:t xml:space="preserve">  organizationId: { type: String, required: true, index: true },</w:t>
              <w:br/>
              <w:t xml:space="preserve">  isActive: { type: Boolean, default: true },</w:t>
              <w:br/>
              <w:t>}, { timestamps: true });</w:t>
            </w:r>
          </w:p>
        </w:tc>
      </w:tr>
    </w:tbl>
    <w:p>
      <w:pPr>
        <w:spacing w:before="0" w:after="80"/>
      </w:pPr>
    </w:p>
    <w:p>
      <w:pPr>
        <w:spacing w:before="320" w:after="120"/>
        <w:jc w:val="both"/>
      </w:pPr>
      <w:r>
        <w:rPr>
          <w:b/>
          <w:color w:val="000000"/>
          <w:sz w:val="28"/>
        </w:rPr>
        <w:t>6. Password Hashing and Registration (server/routes/authRoutes.ts)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import { Router, Response } from 'express';</w:t>
              <w:br/>
              <w:t>import bcrypt from 'bcryptjs';</w:t>
              <w:br/>
              <w:t>import { dal } from '../db/dal';</w:t>
              <w:br/>
              <w:br/>
              <w:t>const router = Router();</w:t>
              <w:br/>
              <w:br/>
              <w:t>router.post('/register', async (req, res: Response) =&gt; {</w:t>
              <w:br/>
              <w:t xml:space="preserve">  try {</w:t>
              <w:br/>
              <w:t xml:space="preserve">    const { name, email, password, role, organizationId } = req.body;</w:t>
              <w:br/>
              <w:t xml:space="preserve">    </w:t>
              <w:br/>
              <w:t xml:space="preserve">    const existing = await dal.findUserByEmail(email);</w:t>
              <w:br/>
              <w:t xml:space="preserve">    if (existing) {</w:t>
              <w:br/>
              <w:t xml:space="preserve">      return res.status(409).json({ success: false, error: 'User already exists.' });</w:t>
              <w:br/>
              <w:t xml:space="preserve">    }</w:t>
              <w:br/>
              <w:br/>
              <w:t xml:space="preserve">    const salt = await bcrypt.genSalt(10);</w:t>
              <w:br/>
              <w:t xml:space="preserve">    const passwordHash = await bcrypt.hash(password, salt);</w:t>
              <w:br/>
              <w:br/>
              <w:t xml:space="preserve">    const newUser = await dal.createUser({</w:t>
              <w:br/>
              <w:t xml:space="preserve">      name,</w:t>
              <w:br/>
              <w:t xml:space="preserve">      email,</w:t>
              <w:br/>
              <w:t xml:space="preserve">      passwordHash,</w:t>
              <w:br/>
              <w:t xml:space="preserve">      role: role || 'Employee',</w:t>
              <w:br/>
              <w:t xml:space="preserve">      organizationId: organizationId || 'default-org',</w:t>
              <w:br/>
              <w:t xml:space="preserve">      isActive: true,</w:t>
              <w:br/>
              <w:t xml:space="preserve">    });</w:t>
              <w:br/>
              <w:br/>
              <w:t xml:space="preserve">    res.status(201).json({ success: true, data: { id: newUser._id, email: newUser.email } });</w:t>
              <w:br/>
              <w:t xml:space="preserve">  } catch (err: any) {</w:t>
              <w:br/>
              <w:t xml:space="preserve">    res.status(500).json({ success: false, error: err.message });</w:t>
              <w:br/>
              <w:t xml:space="preserve">  }</w:t>
              <w:br/>
              <w:t>});</w:t>
            </w:r>
          </w:p>
        </w:tc>
      </w:tr>
    </w:tbl>
    <w:p>
      <w:pPr>
        <w:spacing w:before="0" w:after="80"/>
      </w:pPr>
    </w:p>
    <w:p>
      <w:pPr>
        <w:spacing w:before="320" w:after="120"/>
        <w:jc w:val="both"/>
      </w:pPr>
      <w:r>
        <w:rPr>
          <w:b/>
          <w:color w:val="000000"/>
          <w:sz w:val="28"/>
        </w:rPr>
        <w:t>7. Login and JWT Generation (server/routes/authRoutes.ts)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import jwt from 'jsonwebtoken';</w:t>
              <w:br/>
              <w:br/>
              <w:t>router.post('/login', async (req, res: Response) =&gt; {</w:t>
              <w:br/>
              <w:t xml:space="preserve">  const { email, password } = req.body;</w:t>
              <w:br/>
              <w:t xml:space="preserve">  const user = await dal.findUserByEmail(email);</w:t>
              <w:br/>
              <w:t xml:space="preserve">  if (!user) return res.status(401).json({ success: false, error: 'Invalid email or password.' });</w:t>
              <w:br/>
              <w:br/>
              <w:t xml:space="preserve">  const isMatch = await bcrypt.compare(password, user.passwordHash);</w:t>
              <w:br/>
              <w:t xml:space="preserve">  if (!isMatch) return res.status(401).json({ success: false, error: 'Invalid email or password.' });</w:t>
              <w:br/>
              <w:br/>
              <w:t xml:space="preserve">  const token = jwt.sign(</w:t>
              <w:br/>
              <w:t xml:space="preserve">    { userId: user._id, email: user.email, role: user.role, organizationId: user.organizationId },</w:t>
              <w:br/>
              <w:t xml:space="preserve">    process.env.JWT_SECRET || 'secret',</w:t>
              <w:br/>
              <w:t xml:space="preserve">    { expiresIn: '7d' }</w:t>
              <w:br/>
              <w:t xml:space="preserve">  );</w:t>
              <w:br/>
              <w:br/>
              <w:t xml:space="preserve">  res.json({ success: true, token, user: { id: user._id, name: user.name, role: user.role } });</w:t>
              <w:br/>
              <w:t>});</w:t>
            </w:r>
          </w:p>
        </w:tc>
      </w:tr>
    </w:tbl>
    <w:p>
      <w:pPr>
        <w:spacing w:before="0" w:after="80"/>
      </w:pPr>
    </w:p>
    <w:p>
      <w:pPr>
        <w:spacing w:before="320" w:after="120"/>
        <w:jc w:val="both"/>
      </w:pPr>
      <w:r>
        <w:rPr>
          <w:b/>
          <w:color w:val="000000"/>
          <w:sz w:val="28"/>
        </w:rPr>
        <w:t>8. Authentication Middleware (server/services/authService.ts)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import { Request, Response, NextFunction } from 'express';</w:t>
              <w:br/>
              <w:t>import jwt from 'jsonwebtoken';</w:t>
              <w:br/>
              <w:br/>
              <w:t>export function requireAuth(req: Request, res: Response, next: NextFunction) {</w:t>
              <w:br/>
              <w:t xml:space="preserve">  const authHeader = req.headers.authorization;</w:t>
              <w:br/>
              <w:t xml:space="preserve">  if (!authHeader?.startsWith('Bearer ')) {</w:t>
              <w:br/>
              <w:t xml:space="preserve">    return res.status(401).json({ success: false, error: 'Unauthorized: Missing token' });</w:t>
              <w:br/>
              <w:t xml:space="preserve">  }</w:t>
              <w:br/>
              <w:br/>
              <w:t xml:space="preserve">  const token = authHeader.split(' ')[1];</w:t>
              <w:br/>
              <w:t xml:space="preserve">  try {</w:t>
              <w:br/>
              <w:t xml:space="preserve">    const decoded = jwt.verify(token, process.env.JWT_SECRET || 'secret');</w:t>
              <w:br/>
              <w:t xml:space="preserve">    (req as any).user = decoded;</w:t>
              <w:br/>
              <w:t xml:space="preserve">    next();</w:t>
              <w:br/>
              <w:t xml:space="preserve">  } catch {</w:t>
              <w:br/>
              <w:t xml:space="preserve">    return res.status(401).json({ success: false, error: 'Invalid or expired token.' });</w:t>
              <w:br/>
              <w:t xml:space="preserve">  }</w:t>
              <w:br/>
              <w:t>}</w:t>
            </w:r>
          </w:p>
        </w:tc>
      </w:tr>
    </w:tbl>
    <w:p>
      <w:pPr>
        <w:spacing w:before="0" w:after="80"/>
      </w:pPr>
    </w:p>
    <w:p>
      <w:pPr>
        <w:spacing w:before="320" w:after="120"/>
        <w:jc w:val="both"/>
      </w:pPr>
      <w:r>
        <w:rPr>
          <w:b/>
          <w:color w:val="000000"/>
          <w:sz w:val="28"/>
        </w:rPr>
        <w:t>9. Create API (server/routes/energyRoutes.ts)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router.post('/', requireAuth, async (req, res) =&gt; {</w:t>
              <w:br/>
              <w:t xml:space="preserve">  try {</w:t>
              <w:br/>
              <w:t xml:space="preserve">    const user = (req as any).user;</w:t>
              <w:br/>
              <w:t xml:space="preserve">    const record = await dal.createEnergyRecord({</w:t>
              <w:br/>
              <w:t xml:space="preserve">      ...req.body,</w:t>
              <w:br/>
              <w:t xml:space="preserve">      organizationId: user.organizationId,</w:t>
              <w:br/>
              <w:t xml:space="preserve">      createdBy: user.userId,</w:t>
              <w:br/>
              <w:t xml:space="preserve">    });</w:t>
              <w:br/>
              <w:t xml:space="preserve">    res.status(201).json({ success: true, data: record });</w:t>
              <w:br/>
              <w:t xml:space="preserve">  } catch (err: any) {</w:t>
              <w:br/>
              <w:t xml:space="preserve">    res.status(400).json({ success: false, error: err.message });</w:t>
              <w:br/>
              <w:t xml:space="preserve">  }</w:t>
              <w:br/>
              <w:t>});</w:t>
            </w:r>
          </w:p>
        </w:tc>
      </w:tr>
    </w:tbl>
    <w:p>
      <w:pPr>
        <w:spacing w:before="0" w:after="80"/>
      </w:pPr>
    </w:p>
    <w:p>
      <w:pPr>
        <w:spacing w:before="320" w:after="120"/>
        <w:jc w:val="both"/>
      </w:pPr>
      <w:r>
        <w:rPr>
          <w:b/>
          <w:color w:val="000000"/>
          <w:sz w:val="28"/>
        </w:rPr>
        <w:t>10. Read API with Clean Filtering (server/routes/energyRoutes.ts)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router.get('/', requireAuth, async (req, res) =&gt; {</w:t>
              <w:br/>
              <w:t xml:space="preserve">  try {</w:t>
              <w:br/>
              <w:t xml:space="preserve">    const { energyType, facility, startDate, endDate } = req.query;</w:t>
              <w:br/>
              <w:t xml:space="preserve">    const filters: any = {};</w:t>
              <w:br/>
              <w:t xml:space="preserve">    if (energyType &amp;&amp; energyType !== 'undefined') filters.energyType = energyType;</w:t>
              <w:br/>
              <w:t xml:space="preserve">    if (facility &amp;&amp; facility !== 'undefined') filters.facility = facility;</w:t>
              <w:br/>
              <w:t xml:space="preserve">    if (startDate || endDate) {</w:t>
              <w:br/>
              <w:t xml:space="preserve">      filters.recordDate = {};</w:t>
              <w:br/>
              <w:t xml:space="preserve">      if (startDate) filters.recordDate.$gte = new Date(startDate as string);</w:t>
              <w:br/>
              <w:t xml:space="preserve">      if (endDate) filters.recordDate.$lte = new Date(endDate as string);</w:t>
              <w:br/>
              <w:t xml:space="preserve">    }</w:t>
              <w:br/>
              <w:t xml:space="preserve">    const records = await dal.getEnergyRecords(filters);</w:t>
              <w:br/>
              <w:t xml:space="preserve">    res.json({ success: true, data: records });</w:t>
              <w:br/>
              <w:t xml:space="preserve">  } catch (err: any) {</w:t>
              <w:br/>
              <w:t xml:space="preserve">    res.status(500).json({ success: false, error: err.message });</w:t>
              <w:br/>
              <w:t xml:space="preserve">  }</w:t>
              <w:br/>
              <w:t>});</w:t>
            </w:r>
          </w:p>
        </w:tc>
      </w:tr>
    </w:tbl>
    <w:p>
      <w:pPr>
        <w:spacing w:before="0" w:after="80"/>
      </w:pPr>
    </w:p>
    <w:p>
      <w:pPr>
        <w:spacing w:before="320" w:after="120"/>
        <w:jc w:val="both"/>
      </w:pPr>
      <w:r>
        <w:rPr>
          <w:b/>
          <w:color w:val="000000"/>
          <w:sz w:val="28"/>
        </w:rPr>
        <w:t>11. Update API (server/routes/energyRoutes.ts)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router.put('/:id', requireAuth, async (req, res) =&gt; {</w:t>
              <w:br/>
              <w:t xml:space="preserve">  try {</w:t>
              <w:br/>
              <w:t xml:space="preserve">    const updated = await dal.updateEnergyRecord(req.params.id, req.body);</w:t>
              <w:br/>
              <w:t xml:space="preserve">    if (!updated) return res.status(404).json({ success: false, error: 'Record not found' });</w:t>
              <w:br/>
              <w:t xml:space="preserve">    res.json({ success: true, data: updated });</w:t>
              <w:br/>
              <w:t xml:space="preserve">  } catch (err: any) {</w:t>
              <w:br/>
              <w:t xml:space="preserve">    res.status(400).json({ success: false, error: err.message });</w:t>
              <w:br/>
              <w:t xml:space="preserve">  }</w:t>
              <w:br/>
              <w:t>});</w:t>
            </w:r>
          </w:p>
        </w:tc>
      </w:tr>
    </w:tbl>
    <w:p>
      <w:pPr>
        <w:spacing w:before="0" w:after="80"/>
      </w:pPr>
    </w:p>
    <w:p>
      <w:pPr>
        <w:spacing w:before="320" w:after="120"/>
        <w:jc w:val="both"/>
      </w:pPr>
      <w:r>
        <w:rPr>
          <w:b/>
          <w:color w:val="000000"/>
          <w:sz w:val="28"/>
        </w:rPr>
        <w:t>12. Delete API (server/routes/energyRoutes.ts)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router.delete('/:id', requireAuth, async (req, res) =&gt; {</w:t>
              <w:br/>
              <w:t xml:space="preserve">  try {</w:t>
              <w:br/>
              <w:t xml:space="preserve">    const deleted = await dal.deleteEnergyRecord(req.params.id);</w:t>
              <w:br/>
              <w:t xml:space="preserve">    if (!deleted) return res.status(404).json({ success: false, error: 'Record not found' });</w:t>
              <w:br/>
              <w:t xml:space="preserve">    res.json({ success: true, message: 'Record deleted successfully' });</w:t>
              <w:br/>
              <w:t xml:space="preserve">  } catch (err: any) {</w:t>
              <w:br/>
              <w:t xml:space="preserve">    res.status(500).json({ success: false, error: err.message });</w:t>
              <w:br/>
              <w:t xml:space="preserve">  }</w:t>
              <w:br/>
              <w:t>});</w:t>
            </w:r>
          </w:p>
        </w:tc>
      </w:tr>
    </w:tbl>
    <w:p>
      <w:pPr>
        <w:spacing w:before="0" w:after="80"/>
      </w:pPr>
    </w:p>
    <w:p>
      <w:pPr>
        <w:spacing w:before="320" w:after="120"/>
        <w:jc w:val="both"/>
      </w:pPr>
      <w:r>
        <w:rPr>
          <w:b/>
          <w:color w:val="000000"/>
          <w:sz w:val="28"/>
        </w:rPr>
        <w:t>13. Express Routes Central Registration (server/app.ts)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app.use('/api/auth', authRoutes);</w:t>
              <w:br/>
              <w:t>app.use('/api/organizations', organizationRoutes);</w:t>
              <w:br/>
              <w:t>app.use('/api/energy', energyRoutes);</w:t>
              <w:br/>
              <w:t>app.use('/api/emissions', emissionRoutes);</w:t>
              <w:br/>
              <w:t>app.use('/api/waste', wasteRoutes);</w:t>
              <w:br/>
              <w:t>app.use('/api/esg', esgRoutes);</w:t>
              <w:br/>
              <w:t>app.use('/api/goals', goalRoutes);</w:t>
              <w:br/>
              <w:t>app.use('/api/dashboard', dashboardRoutes);</w:t>
              <w:br/>
              <w:t>app.use('/api/reports', reportRoutes);</w:t>
              <w:br/>
              <w:t>app.use('/api', systemRoutes);</w:t>
            </w:r>
          </w:p>
        </w:tc>
      </w:tr>
    </w:tbl>
    <w:p>
      <w:pPr>
        <w:spacing w:before="0" w:after="80"/>
      </w:pPr>
    </w:p>
    <w:p>
      <w:pPr>
        <w:spacing w:before="320" w:after="120"/>
        <w:jc w:val="both"/>
      </w:pPr>
      <w:r>
        <w:rPr>
          <w:b/>
          <w:color w:val="000000"/>
          <w:sz w:val="28"/>
        </w:rPr>
        <w:t>14. Main Server Initialization File (server/app.ts)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export async function initializeBackend() {</w:t>
              <w:br/>
              <w:t xml:space="preserve">  if (isInitialized) return;</w:t>
              <w:br/>
              <w:t xml:space="preserve">  isInitialized = true;</w:t>
              <w:br/>
              <w:t xml:space="preserve">  console.log('[Server] Initializing EcoTrack ESG Backend...');</w:t>
              <w:br/>
              <w:t xml:space="preserve">  await connectDatabase();</w:t>
              <w:br/>
              <w:t xml:space="preserve">  await seedDatabase(false);</w:t>
              <w:br/>
              <w:t xml:space="preserve">  console.log('[Server] Backend initialized.');</w:t>
              <w:br/>
              <w:t>}</w:t>
            </w:r>
          </w:p>
        </w:tc>
      </w:tr>
    </w:tbl>
    <w:p>
      <w:pPr>
        <w:spacing w:before="0" w:after="80"/>
      </w:pPr>
    </w:p>
    <w:p>
      <w:pPr>
        <w:spacing w:before="320" w:after="120"/>
        <w:jc w:val="both"/>
      </w:pPr>
      <w:r>
        <w:rPr>
          <w:b/>
          <w:color w:val="000000"/>
          <w:sz w:val="28"/>
        </w:rPr>
        <w:t>15. React Login Component (src/pages/LoginPage.tsx)</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import React, { useState } from 'react';</w:t>
              <w:br/>
              <w:t>import { useAuth } from '../context/AuthContext';</w:t>
              <w:br/>
              <w:br/>
              <w:t>export const LoginPage = () =&gt; {</w:t>
              <w:br/>
              <w:t xml:space="preserve">  const [email, setEmail] = useState('');</w:t>
              <w:br/>
              <w:t xml:space="preserve">  const [password, setPassword] = useState('');</w:t>
              <w:br/>
              <w:t xml:space="preserve">  const { login } = useAuth();</w:t>
              <w:br/>
              <w:br/>
              <w:t xml:space="preserve">  const handleSubmit = async (e: React.FormEvent) =&gt; {</w:t>
              <w:br/>
              <w:t xml:space="preserve">    e.preventDefault();</w:t>
              <w:br/>
              <w:t xml:space="preserve">    await login(email, password);</w:t>
              <w:br/>
              <w:t xml:space="preserve">  };</w:t>
              <w:br/>
              <w:br/>
              <w:t xml:space="preserve">  return (</w:t>
              <w:br/>
              <w:t xml:space="preserve">    &lt;div className="min-h-screen flex items-center justify-center p-4"&gt;</w:t>
              <w:br/>
              <w:t xml:space="preserve">      &lt;form onSubmit={handleSubmit} className="glass-card p-8 rounded-2xl w-full max-w-md"&gt;</w:t>
              <w:br/>
              <w:t xml:space="preserve">        &lt;h2 className="text-2xl font-bold text-white mb-6"&gt;Sign In to EcoTrack&lt;/h2&gt;</w:t>
              <w:br/>
              <w:t xml:space="preserve">        &lt;input type="email" value={email} onChange={e =&gt; setEmail(e.target.value)} </w:t>
              <w:br/>
              <w:t xml:space="preserve">          placeholder="Enter email" required className="w-full mb-4 p-3 rounded-lg bg-black/40 border border-white/10 text-white" /&gt;</w:t>
              <w:br/>
              <w:t xml:space="preserve">        &lt;input type="password" value={password} onChange={e =&gt; setPassword(e.target.value)} </w:t>
              <w:br/>
              <w:t xml:space="preserve">          placeholder="Enter password" required className="w-full mb-6 p-3 rounded-lg bg-black/40 border border-white/10 text-white" /&gt;</w:t>
              <w:br/>
              <w:t xml:space="preserve">        &lt;button type="submit" className="w-full py-3 bg-emerald-500 rounded-lg font-semibold text-black"&gt;</w:t>
              <w:br/>
              <w:t xml:space="preserve">          Authenticate</w:t>
              <w:br/>
              <w:t xml:space="preserve">        &lt;/button&gt;</w:t>
              <w:br/>
              <w:t xml:space="preserve">      &lt;/form&gt;</w:t>
              <w:br/>
              <w:t xml:space="preserve">    &lt;/div&gt;</w:t>
              <w:br/>
              <w:t xml:space="preserve">  );</w:t>
              <w:br/>
              <w:t>};</w:t>
            </w:r>
          </w:p>
        </w:tc>
      </w:tr>
    </w:tbl>
    <w:p>
      <w:pPr>
        <w:spacing w:before="0" w:after="80"/>
      </w:pPr>
    </w:p>
    <w:p>
      <w:pPr>
        <w:spacing w:before="320" w:after="120"/>
        <w:jc w:val="both"/>
      </w:pPr>
      <w:r>
        <w:rPr>
          <w:b/>
          <w:color w:val="000000"/>
          <w:sz w:val="28"/>
        </w:rPr>
        <w:t>16. Admin Dashboard Logic (src/services/api.ts)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export async function getDashboardOverview(filters?: DashboardFilter) {</w:t>
              <w:br/>
              <w:t xml:space="preserve">  const query = cleanParams(filters);</w:t>
              <w:br/>
              <w:t xml:space="preserve">  const res = await fetch(`/api/dashboard/overview?${query}`, {</w:t>
              <w:br/>
              <w:t xml:space="preserve">    headers: { Authorization: `Bearer ${localStorage.getItem('ecotrack_token')}` }</w:t>
              <w:br/>
              <w:t xml:space="preserve">  });</w:t>
              <w:br/>
              <w:t xml:space="preserve">  return res.json();</w:t>
              <w:br/>
              <w:t>}</w:t>
            </w:r>
          </w:p>
        </w:tc>
      </w:tr>
    </w:tbl>
    <w:p>
      <w:pPr>
        <w:spacing w:before="0" w:after="80"/>
      </w:pPr>
    </w:p>
    <w:p>
      <w:pPr>
        <w:spacing w:before="320" w:after="120"/>
        <w:jc w:val="both"/>
      </w:pPr>
      <w:r>
        <w:rPr>
          <w:b/>
          <w:color w:val="000000"/>
          <w:sz w:val="28"/>
        </w:rPr>
        <w:t>17. REST API Request and Response Examples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40" w:after="40" w:line="276" w:lineRule="auto"/>
            </w:pPr>
            <w:r>
              <w:rPr>
                <w:rFonts w:ascii="Consolas" w:hAnsi="Consolas"/>
                <w:color w:val="000000"/>
                <w:sz w:val="17"/>
              </w:rPr>
              <w:t>// HTTP POST /api/energy Request Payload:</w:t>
              <w:br/>
              <w:t>{</w:t>
              <w:br/>
              <w:t xml:space="preserve">  "facility": "Headquarters - Building A",</w:t>
              <w:br/>
              <w:t xml:space="preserve">  "energyType": "Electricity",</w:t>
              <w:br/>
              <w:t xml:space="preserve">  "consumption": 14250,</w:t>
              <w:br/>
              <w:t xml:space="preserve">  "unit": "kWh",</w:t>
              <w:br/>
              <w:t xml:space="preserve">  "cost": 1850,</w:t>
              <w:br/>
              <w:t xml:space="preserve">  "recordDate": "2026-03-15T00:00:00.000Z"</w:t>
              <w:br/>
              <w:t>}</w:t>
              <w:br/>
              <w:br/>
              <w:t>// HTTP Response (201 Created):</w:t>
              <w:br/>
              <w:t>{</w:t>
              <w:br/>
              <w:t xml:space="preserve">  "success": true,</w:t>
              <w:br/>
              <w:t xml:space="preserve">  "data": {</w:t>
              <w:br/>
              <w:t xml:space="preserve">    "_id": "67b45f1e8e4a9c0012ab34cd",</w:t>
              <w:br/>
              <w:t xml:space="preserve">    "organizationId": "org-ecotrack-main",</w:t>
              <w:br/>
              <w:t xml:space="preserve">    "facility": "Headquarters - Building A",</w:t>
              <w:br/>
              <w:t xml:space="preserve">    "energyType": "Electricity",</w:t>
              <w:br/>
              <w:t xml:space="preserve">    "consumption": 14250,</w:t>
              <w:br/>
              <w:t xml:space="preserve">    "unit": "kWh",</w:t>
              <w:br/>
              <w:t xml:space="preserve">    "cost": 1850,</w:t>
              <w:br/>
              <w:t xml:space="preserve">    "recordDate": "2026-03-15T00:00:00.000Z",</w:t>
              <w:br/>
              <w:t xml:space="preserve">    "createdAt": "2026-03-15T10:14:22.105Z"</w:t>
              <w:br/>
              <w:t xml:space="preserve">  }</w:t>
              <w:br/>
              <w:t>}</w:t>
            </w:r>
          </w:p>
        </w:tc>
      </w:tr>
    </w:tbl>
    <w:p>
      <w:pPr>
        <w:spacing w:before="0" w:after="80"/>
      </w:pPr>
    </w:p>
    <w:p>
      <w:r>
        <w:br w:type="page"/>
      </w:r>
    </w:p>
    <w:p>
      <w:pPr>
        <w:spacing w:before="360" w:after="80"/>
        <w:jc w:val="center"/>
      </w:pPr>
      <w:r>
        <w:rPr>
          <w:b/>
          <w:color w:val="000000"/>
          <w:sz w:val="32"/>
        </w:rPr>
        <w:t>CHAPTER REFERENCES</w:t>
      </w:r>
    </w:p>
    <w:p>
      <w:pPr>
        <w:spacing w:before="0" w:after="360"/>
        <w:jc w:val="center"/>
      </w:pPr>
      <w:r>
        <w:rPr>
          <w:b/>
          <w:color w:val="000000"/>
          <w:sz w:val="30"/>
        </w:rPr>
      </w:r>
    </w:p>
    <w:p>
      <w:pPr>
        <w:spacing w:line="312" w:lineRule="auto" w:after="160"/>
        <w:jc w:val="both"/>
      </w:pPr>
      <w:r>
        <w:rPr>
          <w:color w:val="000000"/>
          <w:sz w:val="22"/>
        </w:rPr>
        <w:t>[1] World Business Council for Sustainable Development &amp; World Resources Institute, “The Greenhouse Gas Protocol: A Corporate Accounting and Reporting Standard,” Revised Edition, Washington, DC, 2004.</w:t>
      </w:r>
    </w:p>
    <w:p>
      <w:pPr>
        <w:spacing w:line="312" w:lineRule="auto" w:after="160"/>
        <w:jc w:val="both"/>
      </w:pPr>
      <w:r>
        <w:rPr>
          <w:color w:val="000000"/>
          <w:sz w:val="22"/>
        </w:rPr>
        <w:t>[2] K. H. Lee and S. Schaltegger, “Organizational sustainability management and empirical accounting error analysis,” Journal of Cleaner Production, vol. 172, pp. 3390–3400, 2018.</w:t>
      </w:r>
    </w:p>
    <w:p>
      <w:pPr>
        <w:spacing w:line="312" w:lineRule="auto" w:after="160"/>
        <w:jc w:val="both"/>
      </w:pPr>
      <w:r>
        <w:rPr>
          <w:color w:val="000000"/>
          <w:sz w:val="22"/>
        </w:rPr>
        <w:t>[3] C. M. Chen and M. A. Delmas, “Measuring corporate carbon disclosure accuracy: A multi-sector empirical analysis,” Strategic Management Journal, vol. 42, no. 5, pp. 982–1006, 2021.</w:t>
      </w:r>
    </w:p>
    <w:p>
      <w:pPr>
        <w:spacing w:line="312" w:lineRule="auto" w:after="160"/>
        <w:jc w:val="both"/>
      </w:pPr>
      <w:r>
        <w:rPr>
          <w:color w:val="000000"/>
          <w:sz w:val="22"/>
        </w:rPr>
        <w:t>[4] M. Fowler, “Patterns of Enterprise Application Architecture,” Addison-Wesley Professional, Boston, MA, 2019.</w:t>
      </w:r>
    </w:p>
    <w:p>
      <w:pPr>
        <w:spacing w:line="312" w:lineRule="auto" w:after="160"/>
        <w:jc w:val="both"/>
      </w:pPr>
      <w:r>
        <w:rPr>
          <w:color w:val="000000"/>
          <w:sz w:val="22"/>
        </w:rPr>
        <w:t>[5] A. Marcus and E. Wang, “Ergonomic and cognitive evaluation of dark-mode interfaces in enterprise analytics dashboards,” IEEE Transactions on Professional Communication, vol. 65, no. 2, pp. 245–261, 2022.</w:t>
      </w:r>
    </w:p>
    <w:p>
      <w:pPr>
        <w:spacing w:line="312" w:lineRule="auto" w:after="160"/>
        <w:jc w:val="both"/>
      </w:pPr>
      <w:r>
        <w:rPr>
          <w:color w:val="000000"/>
          <w:sz w:val="22"/>
        </w:rPr>
        <w:t>[6] European Financial Reporting Advisory Group (EFRAG), “European Sustainability Reporting Standards (ESRS) under Corporate Sustainability Due Diligence Directive,” Official Journal of the European Union, 2024.</w:t>
      </w:r>
    </w:p>
    <w:p>
      <w:pPr>
        <w:spacing w:line="312" w:lineRule="auto" w:after="160"/>
        <w:jc w:val="both"/>
      </w:pPr>
      <w:r>
        <w:rPr>
          <w:color w:val="000000"/>
          <w:sz w:val="22"/>
        </w:rPr>
        <w:t>[7] Securities and Exchange Board of India (SEBI), “Business Responsibility and Sustainability Reporting (BRSR) Core Framework for Listed Entities,” Circular SEBI/HO/CFD/CMD-2/P/CIR/2023/122, 2023.</w:t>
      </w:r>
    </w:p>
    <w:p>
      <w:pPr>
        <w:spacing w:line="312" w:lineRule="auto" w:after="160"/>
        <w:jc w:val="both"/>
      </w:pPr>
      <w:r>
        <w:rPr>
          <w:color w:val="000000"/>
          <w:sz w:val="22"/>
        </w:rPr>
        <w:t>[8] United States Securities and Exchange Commission, “The Enhancement and Standardization of Climate-Related Disclosures for Investors,” Final Rules, Release Nos. 33-11275, 34-99678, 2024.</w:t>
      </w:r>
    </w:p>
    <w:p>
      <w:pPr>
        <w:spacing w:line="312" w:lineRule="auto" w:after="160"/>
        <w:jc w:val="both"/>
      </w:pPr>
      <w:r>
        <w:rPr>
          <w:color w:val="000000"/>
          <w:sz w:val="22"/>
        </w:rPr>
        <w:t>[9] MongoDB Inc., “MongoDB Atlas Cloud Architecture: Sharded Clusters, Replica Sets, and Security Best Practices,” MongoDB Technical Documentation, 2026. [Online]. Available: https://www.mongodb.com/docs</w:t>
      </w:r>
    </w:p>
    <w:p>
      <w:pPr>
        <w:spacing w:line="312" w:lineRule="auto" w:after="160"/>
        <w:jc w:val="both"/>
      </w:pPr>
      <w:r>
        <w:rPr>
          <w:color w:val="000000"/>
          <w:sz w:val="22"/>
        </w:rPr>
        <w:t>[10] React Core Engineering Team, “React 19 Architecture: Concurrent Rendering, Server Actions, and Hooks API,” React Official Documentation, 2026. [Online]. Available: https://react.dev</w:t>
      </w:r>
    </w:p>
    <w:p>
      <w:pPr>
        <w:spacing w:line="312" w:lineRule="auto" w:after="160"/>
        <w:jc w:val="both"/>
      </w:pPr>
      <w:r>
        <w:rPr>
          <w:color w:val="000000"/>
          <w:sz w:val="22"/>
        </w:rPr>
        <w:t>[11] Express.js Foundation, “Production Security Best Practices for Node.js RESTful Microservices,” Express.js Technical Guides, 2025. [Online]. Available: https://expressjs.com</w:t>
      </w:r>
    </w:p>
    <w:p>
      <w:pPr>
        <w:spacing w:line="312" w:lineRule="auto" w:after="160"/>
        <w:jc w:val="both"/>
      </w:pPr>
      <w:r>
        <w:rPr>
          <w:color w:val="000000"/>
          <w:sz w:val="22"/>
        </w:rPr>
        <w:t>[12] Tailwind Labs, “Tailwind CSS v4: Utility-First Engine &amp; Design Tokens Architecture,” Tailwind Documentation, 2026. [Online]. Available: https://tailwindcss.com</w:t>
      </w:r>
    </w:p>
    <w:p>
      <w:pPr>
        <w:spacing w:line="312" w:lineRule="auto" w:after="160"/>
        <w:jc w:val="both"/>
      </w:pPr>
      <w:r>
        <w:rPr>
          <w:color w:val="000000"/>
          <w:sz w:val="22"/>
        </w:rPr>
        <w:t>[13] Recharts Project, “Composable Charting Component Library for React Single Page Applications,” Recharts Documentation, 2026. [Online]. Available: https://recharts.org</w:t>
      </w:r>
    </w:p>
    <w:p>
      <w:pPr>
        <w:spacing w:line="312" w:lineRule="auto" w:after="160"/>
        <w:jc w:val="both"/>
      </w:pPr>
      <w:r>
        <w:rPr>
          <w:color w:val="000000"/>
          <w:sz w:val="22"/>
        </w:rPr>
        <w:t>[14] I. Sommerville, “Software Engineering,” 10th ed., Pearson Higher Education, London, UK, 2016.</w:t>
      </w:r>
    </w:p>
    <w:p>
      <w:pPr>
        <w:spacing w:line="312" w:lineRule="auto" w:after="160"/>
        <w:jc w:val="both"/>
      </w:pPr>
      <w:r>
        <w:rPr>
          <w:color w:val="000000"/>
          <w:sz w:val="22"/>
        </w:rPr>
        <w:t>[15] E. Gamma, R. Helm, R. Johnson, and J. Vlissides, “Design Patterns: Elements of Reusable Object-Oriented Software,” Addison-Wesley, Reading, MA, 1994.</w:t>
      </w:r>
    </w:p>
    <w:sectPr w:rsidR="00FC693F" w:rsidRPr="0006063C" w:rsidSect="00034616">
      <w:footerReference w:type="default" r:id="rId12"/>
      <w:pgSz w:w="12240" w:h="15840"/>
      <w:pgMar w:top="1440" w:right="1080" w:bottom="1080" w:left="1800" w:header="720" w:footer="576" w:gutter="0"/>
      <w:cols w:space="720"/>
      <w:docGrid w:linePitch="360"/>
      <w:pgNumType w:fmt="lowerRoman"/>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000000"/>
        <w:sz w:val="22"/>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000000"/>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