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800"/>
              <w:left w:type="dxa" w:w="560"/>
              <w:bottom w:type="dxa" w:w="800"/>
              <w:right w:type="dxa" w:w="560"/>
            </w:tcMar>
          </w:tcPr>
          <w:p>
            <w:pPr>
              <w:spacing w:before="0" w:after="120"/>
              <w:jc w:val="center"/>
            </w:pPr>
            <w:r>
              <w:rPr>
                <w:rFonts w:ascii="Arial" w:cs="Arial" w:eastAsia="Arial" w:hAnsi="Arial"/>
                <w:color w:val="1E6FDB"/>
                <w:sz w:val="80"/>
                <w:szCs w:val="80"/>
              </w:rPr>
              <w:t xml:space="preserve">♟</w:t>
            </w:r>
          </w:p>
          <w:p>
            <w:pPr>
              <w:spacing w:before="0" w:after="80"/>
              <w:jc w:val="center"/>
            </w:pPr>
            <w:r>
              <w:rPr>
                <w:rFonts w:ascii="Arial" w:cs="Arial" w:eastAsia="Arial" w:hAnsi="Arial"/>
                <w:b/>
                <w:bCs/>
                <w:color w:val="FFFFFF"/>
                <w:sz w:val="64"/>
                <w:szCs w:val="64"/>
              </w:rPr>
              <w:t xml:space="preserve">HAMDUK LABS</w:t>
            </w:r>
          </w:p>
          <w:p>
            <w:pPr>
              <w:spacing w:before="0" w:after="200"/>
              <w:jc w:val="center"/>
            </w:pPr>
            <w:r>
              <w:rPr>
                <w:rFonts w:ascii="Arial" w:cs="Arial" w:eastAsia="Arial" w:hAnsi="Arial"/>
                <w:color w:val="1E6FDB"/>
                <w:sz w:val="32"/>
                <w:szCs w:val="32"/>
              </w:rPr>
              <w:t xml:space="preserve">Chess Integrity Platform</w:t>
            </w:r>
          </w:p>
          <w:p>
            <w:pPr>
              <w:spacing w:before="0" w:after="400"/>
              <w:jc w:val="center"/>
            </w:pPr>
            <w:r>
              <w:rPr>
                <w:rFonts w:ascii="Arial" w:cs="Arial" w:eastAsia="Arial" w:hAnsi="Arial"/>
                <w:color w:val="AABCD4"/>
                <w:sz w:val="24"/>
                <w:szCs w:val="24"/>
              </w:rPr>
              <w:t xml:space="preserve">Complete Technical Specification</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700"/>
              <w:gridCol w:w="2770"/>
              <w:gridCol w:w="2770"/>
            </w:tblGrid>
            <w:tr>
              <w:tc>
                <w:tcPr>
                  <w:tcBorders>
                    <w:top w:val="none" w:color="FFFFFF" w:sz="0"/>
                    <w:left w:val="none" w:color="FFFFFF" w:sz="0"/>
                    <w:bottom w:val="none" w:color="FFFFFF" w:sz="0"/>
                    <w:right w:val="single" w:color="1A3A5C" w:sz="1"/>
                  </w:tcBorders>
                  <w:tcMar>
                    <w:top w:type="dxa" w:w="120"/>
                    <w:left w:type="dxa" w:w="120"/>
                    <w:bottom w:type="dxa" w:w="120"/>
                    <w:right w:type="dxa" w:w="120"/>
                  </w:tcMar>
                </w:tcPr>
                <w:p>
                  <w:pPr>
                    <w:jc w:val="center"/>
                  </w:pPr>
                  <w:r>
                    <w:rPr>
                      <w:rFonts w:ascii="Arial" w:cs="Arial" w:eastAsia="Arial" w:hAnsi="Arial"/>
                      <w:b/>
                      <w:bCs/>
                      <w:color w:val="1E6FDB"/>
                      <w:sz w:val="20"/>
                      <w:szCs w:val="20"/>
                    </w:rPr>
                    <w:t xml:space="preserve">Engine</w:t>
                  </w:r>
                </w:p>
                <w:p>
                  <w:pPr>
                    <w:jc w:val="center"/>
                  </w:pPr>
                  <w:r>
                    <w:rPr>
                      <w:rFonts w:ascii="Arial" w:cs="Arial" w:eastAsia="Arial" w:hAnsi="Arial"/>
                      <w:color w:val="AABCD4"/>
                      <w:sz w:val="19"/>
                      <w:szCs w:val="19"/>
                    </w:rPr>
                    <w:t xml:space="preserve">Stockfish 16</w:t>
                  </w:r>
                </w:p>
              </w:tc>
              <w:tc>
                <w:tcPr>
                  <w:tcBorders>
                    <w:top w:val="none" w:color="FFFFFF" w:sz="0"/>
                    <w:left w:val="none" w:color="FFFFFF" w:sz="0"/>
                    <w:bottom w:val="none" w:color="FFFFFF" w:sz="0"/>
                    <w:right w:val="single" w:color="1A3A5C" w:sz="1"/>
                  </w:tcBorders>
                  <w:tcMar>
                    <w:top w:type="dxa" w:w="120"/>
                    <w:left w:type="dxa" w:w="120"/>
                    <w:bottom w:type="dxa" w:w="120"/>
                    <w:right w:type="dxa" w:w="120"/>
                  </w:tcMar>
                </w:tcPr>
                <w:p>
                  <w:pPr>
                    <w:jc w:val="center"/>
                  </w:pPr>
                  <w:r>
                    <w:rPr>
                      <w:rFonts w:ascii="Arial" w:cs="Arial" w:eastAsia="Arial" w:hAnsi="Arial"/>
                      <w:b/>
                      <w:bCs/>
                      <w:color w:val="1E6FDB"/>
                      <w:sz w:val="20"/>
                      <w:szCs w:val="20"/>
                    </w:rPr>
                    <w:t xml:space="preserve">ML Model</w:t>
                  </w:r>
                </w:p>
                <w:p>
                  <w:pPr>
                    <w:jc w:val="center"/>
                  </w:pPr>
                  <w:r>
                    <w:rPr>
                      <w:rFonts w:ascii="Arial" w:cs="Arial" w:eastAsia="Arial" w:hAnsi="Arial"/>
                      <w:color w:val="AABCD4"/>
                      <w:sz w:val="19"/>
                      <w:szCs w:val="19"/>
                    </w:rPr>
                    <w:t xml:space="preserve">XGBoost + ISO Forest</w:t>
                  </w:r>
                </w:p>
              </w:tc>
              <w:tc>
                <w:tcPr>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6FDB"/>
                      <w:sz w:val="20"/>
                      <w:szCs w:val="20"/>
                    </w:rPr>
                    <w:t xml:space="preserve">Stack</w:t>
                  </w:r>
                </w:p>
                <w:p>
                  <w:pPr>
                    <w:jc w:val="center"/>
                  </w:pPr>
                  <w:r>
                    <w:rPr>
                      <w:rFonts w:ascii="Arial" w:cs="Arial" w:eastAsia="Arial" w:hAnsi="Arial"/>
                      <w:color w:val="AABCD4"/>
                      <w:sz w:val="19"/>
                      <w:szCs w:val="19"/>
                    </w:rPr>
                    <w:t xml:space="preserve">Python · Next.js · Supabase</w:t>
                  </w:r>
                </w:p>
              </w:tc>
            </w:tr>
          </w:tbl>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8FA" w:val="clear"/>
            <w:tcMar>
              <w:top w:type="dxa" w:w="200"/>
              <w:left w:type="dxa" w:w="360"/>
              <w:bottom w:type="dxa" w:w="200"/>
              <w:right w:type="dxa" w:w="360"/>
            </w:tcMar>
          </w:tcPr>
          <w:p>
            <w:pPr>
              <w:spacing w:before="0" w:after="80"/>
            </w:pPr>
            <w:r>
              <w:rPr>
                <w:rFonts w:ascii="Arial" w:cs="Arial" w:eastAsia="Arial" w:hAnsi="Arial"/>
                <w:b/>
                <w:bCs/>
                <w:color w:val="1A3A5C"/>
                <w:sz w:val="24"/>
                <w:szCs w:val="24"/>
              </w:rPr>
              <w:t xml:space="preserve">Classification</w:t>
            </w:r>
          </w:p>
          <w:p>
            <w:pPr>
              <w:spacing w:before="0" w:after="0"/>
            </w:pPr>
            <w:r>
              <w:rPr>
                <w:rFonts w:ascii="Arial" w:cs="Arial" w:eastAsia="Arial" w:hAnsi="Arial"/>
                <w:color w:val="2C3E50"/>
                <w:sz w:val="21"/>
                <w:szCs w:val="21"/>
              </w:rPr>
              <w:t xml:space="preserve">CONFIDENTIAL — Internal Technical Document. Not for public distribution.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6FF" w:val="clear"/>
            <w:tcMar>
              <w:top w:type="dxa" w:w="200"/>
              <w:left w:type="dxa" w:w="360"/>
              <w:bottom w:type="dxa" w:w="200"/>
              <w:right w:type="dxa" w:w="360"/>
            </w:tcMar>
          </w:tcPr>
          <w:p>
            <w:pPr>
              <w:spacing w:before="0" w:after="80"/>
            </w:pPr>
            <w:r>
              <w:rPr>
                <w:rFonts w:ascii="Arial" w:cs="Arial" w:eastAsia="Arial" w:hAnsi="Arial"/>
                <w:b/>
                <w:bCs/>
                <w:color w:val="1E6FDB"/>
                <w:sz w:val="24"/>
                <w:szCs w:val="24"/>
              </w:rPr>
              <w:t xml:space="preserve">Version</w:t>
            </w:r>
          </w:p>
          <w:p>
            <w:pPr>
              <w:spacing w:before="0" w:after="0"/>
            </w:pPr>
            <w:r>
              <w:rPr>
                <w:rFonts w:ascii="Arial" w:cs="Arial" w:eastAsia="Arial" w:hAnsi="Arial"/>
                <w:color w:val="2C3E50"/>
                <w:sz w:val="21"/>
                <w:szCs w:val="21"/>
              </w:rPr>
              <w:t xml:space="preserve">v1.0 | March 2025 | Hamduk Labs Engineering Team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200"/>
              <w:left w:type="dxa" w:w="360"/>
              <w:bottom w:type="dxa" w:w="200"/>
              <w:right w:type="dxa" w:w="360"/>
            </w:tcMar>
          </w:tcPr>
          <w:p>
            <w:pPr>
              <w:spacing w:before="0" w:after="80"/>
            </w:pPr>
            <w:r>
              <w:rPr>
                <w:rFonts w:ascii="Arial" w:cs="Arial" w:eastAsia="Arial" w:hAnsi="Arial"/>
                <w:b/>
                <w:bCs/>
                <w:color w:val="C8960C"/>
                <w:sz w:val="24"/>
                <w:szCs w:val="24"/>
              </w:rPr>
              <w:t xml:space="preserve">Purpose</w:t>
            </w:r>
          </w:p>
          <w:p>
            <w:pPr>
              <w:spacing w:before="0" w:after="0"/>
            </w:pPr>
            <w:r>
              <w:rPr>
                <w:rFonts w:ascii="Arial" w:cs="Arial" w:eastAsia="Arial" w:hAnsi="Arial"/>
                <w:color w:val="2C3E50"/>
                <w:sz w:val="21"/>
                <w:szCs w:val="21"/>
              </w:rPr>
              <w:t xml:space="preserve">This document provides the complete technical specification for the Hamduk Labs Chess Integrity Platform — a FIDE-grade statistical analysis system for detecting statistically anomalous play in tournament chess. The methodology is designed to be legally defensible, fully explainable, and compliant with international anti-cheating standards.</w:t>
            </w:r>
          </w:p>
        </w:tc>
      </w:tr>
    </w:tbl>
    <w:p>
      <w:r>
        <w:br w:type="page"/>
      </w:r>
    </w:p>
    <w:p>
      <w:pPr>
        <w:pStyle w:val="Heading1"/>
        <w:spacing w:before="400" w:after="160"/>
      </w:pPr>
      <w:r>
        <w:rPr>
          <w:rFonts w:ascii="Arial" w:cs="Arial" w:eastAsia="Arial" w:hAnsi="Arial"/>
          <w:b/>
          <w:bCs/>
          <w:color w:val="0A1628"/>
          <w:sz w:val="44"/>
          <w:szCs w:val="44"/>
        </w:rPr>
        <w:t xml:space="preserve">Executive Summary</w:t>
      </w:r>
    </w:p>
    <w:p>
      <w:pPr>
        <w:spacing w:before="80" w:after="140"/>
      </w:pPr>
      <w:r>
        <w:rPr>
          <w:rFonts w:ascii="Arial" w:cs="Arial" w:eastAsia="Arial" w:hAnsi="Arial"/>
          <w:color w:val="2C3E50"/>
          <w:sz w:val="22"/>
          <w:szCs w:val="22"/>
        </w:rPr>
        <w:t xml:space="preserve">Hamduk Labs is building an institutional-grade chess integrity platform capable of producing statistically defensible, legally sound risk assessments for tournament arbiters and chess federations. The system is designed from first principles around one paramount requirement: false positive minimisation.</w:t>
      </w:r>
    </w:p>
    <w:p>
      <w:pPr>
        <w:spacing w:before="80" w:after="140"/>
      </w:pPr>
      <w:r>
        <w:rPr>
          <w:rFonts w:ascii="Arial" w:cs="Arial" w:eastAsia="Arial" w:hAnsi="Arial"/>
          <w:color w:val="2C3E50"/>
          <w:sz w:val="22"/>
          <w:szCs w:val="22"/>
        </w:rPr>
        <w:t xml:space="preserve">A wrongful accusation against an innocent player is not merely an error — it is a legal liability, a reputational catastrophe, and an institutional failure. Every architectural, statistical, and operational decision in this system is made with that constraint as the highest priority.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Core Design Philosophy</w:t>
            </w:r>
          </w:p>
          <w:p>
            <w:pPr>
              <w:spacing w:before="0" w:after="60"/>
            </w:pPr>
            <w:r>
              <w:rPr>
                <w:rFonts w:ascii="Arial" w:cs="Arial" w:eastAsia="Arial" w:hAnsi="Arial"/>
                <w:color w:val="2C3E50"/>
                <w:sz w:val="22"/>
                <w:szCs w:val="22"/>
              </w:rPr>
              <w:t xml:space="preserve">The system never outputs a verdict of "Cheater". It outputs a statistically computed risk tier with full explainability. Human arbiters make all final decisions. The platform is an advisory intelligence tool, not a judgment engine.</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What Makes This FIDE-Grade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How Hamduk Labs Meets It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 single signal triggers a flag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Minimum 3 independent anomaly triggers required for Elevated+ risk</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Mathematically defensible methodology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IPR-derived model based on Regan academic framework, enhanced with multi-signal fusion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Opening &amp; endgame exclusion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Polyglot opening book filtering + Syzygy tablebase exclusion + forced move detection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Explainability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SHAP values per assessment, plain-English explanation for every triggered signal</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Conservative thresholds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Z-score ≥ 4.0 baseline threshold, calibrated for &lt; 1% false positive rate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Immutable audit trail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Every analysis immutably logged with timestamp, model version, input hash</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Human review gate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High Statistical Anomaly tier always requires arbiter review before any action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01</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Theoretical Foundation — The Regan Model &amp; Hamduk Enhancement</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1.1  Ken Regan's Intrinsic Performance Rating (IPR) Model</w:t>
      </w:r>
    </w:p>
    <w:p>
      <w:pPr>
        <w:spacing w:before="80" w:after="140"/>
      </w:pPr>
      <w:r>
        <w:rPr>
          <w:rFonts w:ascii="Arial" w:cs="Arial" w:eastAsia="Arial" w:hAnsi="Arial"/>
          <w:color w:val="2C3E50"/>
          <w:sz w:val="22"/>
          <w:szCs w:val="22"/>
        </w:rPr>
        <w:t xml:space="preserve">The foundation of legitimate chess cheating detection is the work of Professor Kenneth W. Regan (University at Buffalo), whose methodology is the only system formally approved by FIDE for over-the-board cheating detection. Understanding this model is essential before understanding how Hamduk Labs enhances it.</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1.1.1  Core Concept: Move Quality Over Game Outcome</w:t>
      </w:r>
    </w:p>
    <w:p>
      <w:pPr>
        <w:spacing w:before="80" w:after="140"/>
      </w:pPr>
      <w:r>
        <w:rPr>
          <w:rFonts w:ascii="Arial" w:cs="Arial" w:eastAsia="Arial" w:hAnsi="Arial"/>
          <w:color w:val="2C3E50"/>
          <w:sz w:val="22"/>
          <w:szCs w:val="22"/>
        </w:rPr>
        <w:t xml:space="preserve">Regan's central insight is that game results are a poor statistical sample. A player may complete 50 games in a year — statistically insufficient. But those 50 games contain approximately 1,500 non-trivial move decisions. Analysing the quality of those decisions provides a far richer statistical sample.</w:t>
      </w:r>
    </w:p>
    <w:p>
      <w:pPr>
        <w:spacing w:before="80" w:after="140"/>
      </w:pPr>
      <w:r>
        <w:rPr>
          <w:rFonts w:ascii="Arial" w:cs="Arial" w:eastAsia="Arial" w:hAnsi="Arial"/>
          <w:color w:val="2C3E50"/>
          <w:sz w:val="22"/>
          <w:szCs w:val="22"/>
        </w:rPr>
        <w:t xml:space="preserve">The IPR model does not ask "did the player win?". It asks: "How closely did the player's move choices match what an objectively superior evaluator (Stockfish) would choose, adjusted for the inherent difficulty of each position?"</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1.1.2  The Two Skill Parameters: Sensitivity (s) and Consistency (c)</w:t>
      </w:r>
    </w:p>
    <w:p>
      <w:pPr>
        <w:spacing w:before="80" w:after="140"/>
      </w:pPr>
      <w:r>
        <w:rPr>
          <w:rFonts w:ascii="Arial" w:cs="Arial" w:eastAsia="Arial" w:hAnsi="Arial"/>
          <w:b/>
          <w:bCs/>
          <w:color w:val="0A1628"/>
          <w:sz w:val="22"/>
          <w:szCs w:val="22"/>
        </w:rPr>
        <w:t xml:space="preserve">Sensitivity (s): </w:t>
      </w:r>
      <w:r>
        <w:rPr>
          <w:rFonts w:ascii="Arial" w:cs="Arial" w:eastAsia="Arial" w:hAnsi="Arial"/>
          <w:color w:val="2C3E50"/>
          <w:sz w:val="22"/>
          <w:szCs w:val="22"/>
        </w:rPr>
        <w:t xml:space="preserve">How sharply a player distinguishes between good and poor moves. A highly sensitive player (low s value) has a steep preference curve — they reliably pick top moves. A less sensitive player has a flatter curve — their selections are more random.</w:t>
      </w:r>
    </w:p>
    <w:p>
      <w:pPr>
        <w:spacing w:before="80" w:after="140"/>
      </w:pPr>
      <w:r>
        <w:rPr>
          <w:rFonts w:ascii="Arial" w:cs="Arial" w:eastAsia="Arial" w:hAnsi="Arial"/>
          <w:b/>
          <w:bCs/>
          <w:color w:val="0A1628"/>
          <w:sz w:val="22"/>
          <w:szCs w:val="22"/>
        </w:rPr>
        <w:t xml:space="preserve">Consistency (c): </w:t>
      </w:r>
      <w:r>
        <w:rPr>
          <w:rFonts w:ascii="Arial" w:cs="Arial" w:eastAsia="Arial" w:hAnsi="Arial"/>
          <w:color w:val="2C3E50"/>
          <w:sz w:val="22"/>
          <w:szCs w:val="22"/>
        </w:rPr>
        <w:t xml:space="preserve">How reliably a player reaches their own maximum skill level across positions. Higher consistency means the player performs at full strength in every position, not just easy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IPR Formula</w:t>
            </w:r>
          </w:p>
          <w:p>
            <w:pPr>
              <w:spacing w:before="0" w:after="60"/>
            </w:pPr>
            <w:r>
              <w:rPr>
                <w:rFonts w:ascii="Courier New" w:cs="Courier New" w:eastAsia="Courier New" w:hAnsi="Courier New"/>
                <w:color w:val="1A3A5C"/>
                <w:sz w:val="18"/>
                <w:szCs w:val="18"/>
              </w:rPr>
              <w:t xml:space="preserve">IPR = 3571 − (15413 × AE_scaled)  </w:t>
            </w:r>
          </w:p>
          <w:p>
            <w:pPr>
              <w:spacing w:before="0" w:after="0"/>
            </w:pPr>
            <w:r>
              <w:rPr>
                <w:rFonts w:ascii="Arial" w:cs="Arial" w:eastAsia="Arial" w:hAnsi="Arial"/>
                <w:color w:val="2C3E50"/>
                <w:sz w:val="22"/>
                <w:szCs w:val="22"/>
              </w:rPr>
              <w:t xml:space="preserve">Where AE_scaled is the average error per move, scaled to PEP (Pawns in Equal Positions) units. This produces an Elo-equivalent rating based purely on move quality, not game outcomes.</w:t>
            </w:r>
          </w:p>
        </w:tc>
      </w:tr>
    </w:tbl>
    <w:p>
      <w:pPr>
        <w:spacing w:before="0" w:after="120"/>
      </w:pPr>
      <w:r>
        <w:t xml:space="preserve"/>
      </w:r>
    </w:p>
    <w:p>
      <w:pPr>
        <w:pStyle w:val="Heading3"/>
        <w:spacing w:before="260" w:after="160"/>
      </w:pPr>
      <w:r>
        <w:rPr>
          <w:rFonts w:ascii="Arial" w:cs="Arial" w:eastAsia="Arial" w:hAnsi="Arial"/>
          <w:b/>
          <w:bCs/>
          <w:color w:val="1E6FDB"/>
          <w:sz w:val="26"/>
          <w:szCs w:val="26"/>
        </w:rPr>
        <w:t xml:space="preserve">1.1.3  How Regan Detects Anomalies</w:t>
      </w:r>
    </w:p>
    <w:p>
      <w:pPr>
        <w:spacing w:before="80" w:after="140"/>
      </w:pPr>
      <w:r>
        <w:rPr>
          <w:rFonts w:ascii="Arial" w:cs="Arial" w:eastAsia="Arial" w:hAnsi="Arial"/>
          <w:color w:val="2C3E50"/>
          <w:sz w:val="22"/>
          <w:szCs w:val="22"/>
        </w:rPr>
        <w:t xml:space="preserve">The system computes a player's IPR for a given set of games, then compares it to their official FIDE Elo. The delta between IPR and official Elo is converted to a Z-score against the expected distribution of legitimate performance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Z-Score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&lt; 3.0</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Within normal human performance variance — not flagged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3.0 – 4.0</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Statistically unusual — warrants closer examination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4.0 – 4.5</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Highly anomalous — rarely achieved by legitimate play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 4.5</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FIDE's threshold — 1 in 300,000 probability of natural occurrence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D0DCF0" w:sz="1"/>
              <w:right w:val="single" w:color="D0DCF0" w:sz="1"/>
            </w:tcBorders>
            <w:shd w:fill="FDECEA" w:val="clear"/>
            <w:tcMar>
              <w:top w:type="dxa" w:w="160"/>
              <w:left w:type="dxa" w:w="280"/>
              <w:bottom w:type="dxa" w:w="160"/>
              <w:right w:type="dxa" w:w="280"/>
            </w:tcMar>
          </w:tcPr>
          <w:p>
            <w:r>
              <w:rPr>
                <w:rFonts w:ascii="Arial" w:cs="Arial" w:eastAsia="Arial" w:hAnsi="Arial"/>
                <w:b/>
                <w:bCs/>
                <w:color w:val="C0392B"/>
                <w:sz w:val="22"/>
                <w:szCs w:val="22"/>
              </w:rPr>
              <w:t xml:space="preserve">⚠ CRITICAL: </w:t>
            </w:r>
            <w:r>
              <w:rPr>
                <w:rFonts w:ascii="Arial" w:cs="Arial" w:eastAsia="Arial" w:hAnsi="Arial"/>
                <w:color w:val="2C3E50"/>
                <w:sz w:val="22"/>
                <w:szCs w:val="22"/>
              </w:rPr>
              <w:t xml:space="preserve">FIDE's threshold of Z ≥ 4.5 is intentionally extremely conservative. This means actual cheaters playing subtly may not be flagged. Hamduk Labs addresses this limitation through multi-signal fusion — catching patterns that pure IPR analysis misses.</w:t>
            </w:r>
          </w:p>
        </w:tc>
      </w:tr>
    </w:tbl>
    <w:p>
      <w:pPr>
        <w:spacing w:before="0" w:after="120"/>
      </w:pPr>
      <w:r>
        <w:t xml:space="preserve"/>
      </w:r>
    </w:p>
    <w:p>
      <w:pPr>
        <w:pStyle w:val="Heading3"/>
        <w:spacing w:before="260" w:after="160"/>
      </w:pPr>
      <w:r>
        <w:rPr>
          <w:rFonts w:ascii="Arial" w:cs="Arial" w:eastAsia="Arial" w:hAnsi="Arial"/>
          <w:b/>
          <w:bCs/>
          <w:color w:val="1E6FDB"/>
          <w:sz w:val="26"/>
          <w:szCs w:val="26"/>
        </w:rPr>
        <w:t xml:space="preserve">1.1.4  Known Limitations of the Pure Regan Model</w:t>
      </w:r>
    </w:p>
    <w:p>
      <w:pPr>
        <w:spacing w:before="80" w:after="140"/>
      </w:pPr>
      <w:r>
        <w:rPr>
          <w:rFonts w:ascii="Arial" w:cs="Arial" w:eastAsia="Arial" w:hAnsi="Arial"/>
          <w:color w:val="2C3E50"/>
          <w:sz w:val="22"/>
          <w:szCs w:val="22"/>
        </w:rPr>
        <w:t xml:space="preserve">Hamduk Labs builds on Regan's work but directly addresses four documented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Regan Model Limitation</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Hamduk Labs Enhancement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Uses only move quality / IPR signal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Adds 4 additional independent signal layers for multi-factor fusion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Does not incorporate timing data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Time-complexity correlation is a first-class signal in Hamduk's model</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Does not build per-player historical baseline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Historical profiling engine builds individual baselines, compares against self not population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Single engine (originally Rybka, now multi-engine)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Stockfish 16 at depth 20+ as primary; multi-PV analysis for complexity scoring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 forced move / opening exclusion in early versions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Polyglot + Syzygy + forced move filtering eliminates trivial positions entirely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02</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Game Phase Filtering — What Hamduk Labs Does NOT Analyse</w:t>
            </w:r>
          </w:p>
        </w:tc>
      </w:tr>
    </w:tbl>
    <w:p>
      <w:pPr>
        <w:spacing w:before="0" w:after="120"/>
      </w:pPr>
      <w:r>
        <w:t xml:space="preserve"/>
      </w:r>
    </w:p>
    <w:p>
      <w:pPr>
        <w:spacing w:before="80" w:after="140"/>
      </w:pPr>
      <w:r>
        <w:rPr>
          <w:rFonts w:ascii="Arial" w:cs="Arial" w:eastAsia="Arial" w:hAnsi="Arial"/>
          <w:color w:val="2C3E50"/>
          <w:sz w:val="22"/>
          <w:szCs w:val="22"/>
        </w:rPr>
        <w:t xml:space="preserve">This is one of the most important sections in this document. Naive anti-cheat systems that measure engine agreement across all moves of a game will produce unacceptable false positive rates. Strong players naturally match engine moves in openings, forced positions, and theoretical endgames. These positions must be excluded entirely.</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2.1  Opening Book Filtering</w:t>
      </w:r>
    </w:p>
    <w:p>
      <w:pPr>
        <w:spacing w:before="80" w:after="140"/>
      </w:pPr>
      <w:r>
        <w:rPr>
          <w:rFonts w:ascii="Arial" w:cs="Arial" w:eastAsia="Arial" w:hAnsi="Arial"/>
          <w:color w:val="2C3E50"/>
          <w:sz w:val="22"/>
          <w:szCs w:val="22"/>
        </w:rPr>
        <w:t xml:space="preserve">All moves that exist in a standard polyglot opening book are excluded from analysis. Analysis begins at the first position that represents a genuine novelty — the first move that cannot be found in opening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Implementation: Polyglot Opening Book</w:t>
            </w:r>
          </w:p>
          <w:p>
            <w:pPr>
              <w:spacing w:before="0" w:after="60"/>
            </w:pPr>
            <w:r>
              <w:rPr>
                <w:rFonts w:ascii="Courier New" w:cs="Courier New" w:eastAsia="Courier New" w:hAnsi="Courier New"/>
                <w:color w:val="1A3A5C"/>
                <w:sz w:val="18"/>
                <w:szCs w:val="18"/>
              </w:rPr>
              <w:t xml:space="preserve">import chess.polyglot</w:t>
            </w:r>
          </w:p>
          <w:p>
            <w:pPr>
              <w:spacing w:before="0" w:after="60"/>
            </w:pPr>
            <w:r>
              <w:rPr>
                <w:rFonts w:ascii="Courier New" w:cs="Courier New" w:eastAsia="Courier New" w:hAnsi="Courier New"/>
                <w:color w:val="1A3A5C"/>
                <w:sz w:val="18"/>
                <w:szCs w:val="18"/>
              </w:rPr>
              <w:t xml:space="preserve">def is_book_position(board, reader):</w:t>
            </w:r>
          </w:p>
          <w:p>
            <w:pPr>
              <w:spacing w:before="0" w:after="60"/>
            </w:pPr>
            <w:r>
              <w:rPr>
                <w:rFonts w:ascii="Courier New" w:cs="Courier New" w:eastAsia="Courier New" w:hAnsi="Courier New"/>
                <w:color w:val="1A3A5C"/>
                <w:sz w:val="18"/>
                <w:szCs w:val="18"/>
              </w:rPr>
              <w:t xml:space="preserve">    entries = list(reader.find_all(board))</w:t>
            </w:r>
          </w:p>
          <w:p>
            <w:pPr>
              <w:spacing w:before="0" w:after="0"/>
            </w:pPr>
            <w:r>
              <w:rPr>
                <w:rFonts w:ascii="Courier New" w:cs="Courier New" w:eastAsia="Courier New" w:hAnsi="Courier New"/>
                <w:color w:val="1A3A5C"/>
                <w:sz w:val="18"/>
                <w:szCs w:val="18"/>
              </w:rPr>
              <w:t xml:space="preserve">    return len(entries) &gt; 0  # True = exclude from analysis</w:t>
            </w:r>
          </w:p>
        </w:tc>
      </w:tr>
    </w:tbl>
    <w:p>
      <w:pPr>
        <w:spacing w:before="80" w:after="140"/>
      </w:pPr>
      <w:r>
        <w:rPr>
          <w:rFonts w:ascii="Arial" w:cs="Arial" w:eastAsia="Arial" w:hAnsi="Arial"/>
          <w:color w:val="2C3E50"/>
          <w:sz w:val="22"/>
          <w:szCs w:val="22"/>
        </w:rPr>
        <w:t xml:space="preserve">This approach is superior to a fixed move number cutoff (e.g. "exclude moves 1-15") because opening preparation varies enormously. A player may follow known theory to move 25 in a deeply prepared line. A fixed cutoff would incorrectly include theoretical moves, inflating engine agreement figures.</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2.2  Syzygy Tablebase Exclusion</w:t>
      </w:r>
    </w:p>
    <w:p>
      <w:pPr>
        <w:spacing w:before="80" w:after="140"/>
      </w:pPr>
      <w:r>
        <w:rPr>
          <w:rFonts w:ascii="Arial" w:cs="Arial" w:eastAsia="Arial" w:hAnsi="Arial"/>
          <w:color w:val="2C3E50"/>
          <w:sz w:val="22"/>
          <w:szCs w:val="22"/>
        </w:rPr>
        <w:t xml:space="preserve">When a position contains 7 or fewer pieces, it is solvable by Syzygy endgame tablebases. In these positions, there is often only one objectively correct move. A grandmaster and a club player will both find the best move — engine agreement in these positions is meaningless as an indicator of cheating.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Implementation: Piece Count Detection</w:t>
            </w:r>
          </w:p>
          <w:p>
            <w:pPr>
              <w:spacing w:before="0" w:after="60"/>
            </w:pPr>
            <w:r>
              <w:rPr>
                <w:rFonts w:ascii="Courier New" w:cs="Courier New" w:eastAsia="Courier New" w:hAnsi="Courier New"/>
                <w:color w:val="1A3A5C"/>
                <w:sz w:val="18"/>
                <w:szCs w:val="18"/>
              </w:rPr>
              <w:t xml:space="preserve">def is_tablebase_position(board):</w:t>
            </w:r>
          </w:p>
          <w:p>
            <w:pPr>
              <w:spacing w:before="0" w:after="0"/>
            </w:pPr>
            <w:r>
              <w:rPr>
                <w:rFonts w:ascii="Courier New" w:cs="Courier New" w:eastAsia="Courier New" w:hAnsi="Courier New"/>
                <w:color w:val="1A3A5C"/>
                <w:sz w:val="18"/>
                <w:szCs w:val="18"/>
              </w:rPr>
              <w:t xml:space="preserve">    return len(board.piece_map()) &lt;= 7</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2.3  Forced Move Exclusion</w:t>
      </w:r>
    </w:p>
    <w:p>
      <w:pPr>
        <w:spacing w:before="80" w:after="140"/>
      </w:pPr>
      <w:r>
        <w:rPr>
          <w:rFonts w:ascii="Arial" w:cs="Arial" w:eastAsia="Arial" w:hAnsi="Arial"/>
          <w:color w:val="2C3E50"/>
          <w:sz w:val="22"/>
          <w:szCs w:val="22"/>
        </w:rPr>
        <w:t xml:space="preserve">Some middlegame positions have a move so obviously superior to all alternatives that virtually every player finds it. These positions must be excluded from engine agreement measurement. Including them artificially inflates engine match percentages for all players — honest and dishonest alike — making the metric unreliable.</w:t>
      </w:r>
    </w:p>
    <w:p>
      <w:pPr>
        <w:spacing w:before="80" w:after="140"/>
      </w:pPr>
      <w:r>
        <w:rPr>
          <w:rFonts w:ascii="Arial" w:cs="Arial" w:eastAsia="Arial" w:hAnsi="Arial"/>
          <w:color w:val="2C3E50"/>
          <w:sz w:val="22"/>
          <w:szCs w:val="22"/>
        </w:rPr>
        <w:t xml:space="preserve">A position is considered "forced" when the best move is more than 50 centipawns better than the second-best option. In such positions, even a 1400-rated player will frequently find the engine's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Implementation: Multi-PV Gap Analysis</w:t>
            </w:r>
          </w:p>
          <w:p>
            <w:pPr>
              <w:spacing w:before="0" w:after="60"/>
            </w:pPr>
            <w:r>
              <w:rPr>
                <w:rFonts w:ascii="Courier New" w:cs="Courier New" w:eastAsia="Courier New" w:hAnsi="Courier New"/>
                <w:color w:val="1A3A5C"/>
                <w:sz w:val="18"/>
                <w:szCs w:val="18"/>
              </w:rPr>
              <w:t xml:space="preserve">def is_forced_move(board, engine, threshold_cp=50):</w:t>
            </w:r>
          </w:p>
          <w:p>
            <w:pPr>
              <w:spacing w:before="0" w:after="60"/>
            </w:pPr>
            <w:r>
              <w:rPr>
                <w:rFonts w:ascii="Courier New" w:cs="Courier New" w:eastAsia="Courier New" w:hAnsi="Courier New"/>
                <w:color w:val="1A3A5C"/>
                <w:sz w:val="18"/>
                <w:szCs w:val="18"/>
              </w:rPr>
              <w:t xml:space="preserve">    if len(list(board.legal_moves)) == 1: return True</w:t>
            </w:r>
          </w:p>
          <w:p>
            <w:pPr>
              <w:spacing w:before="0" w:after="60"/>
            </w:pPr>
            <w:r>
              <w:rPr>
                <w:rFonts w:ascii="Courier New" w:cs="Courier New" w:eastAsia="Courier New" w:hAnsi="Courier New"/>
                <w:color w:val="1A3A5C"/>
                <w:sz w:val="18"/>
                <w:szCs w:val="18"/>
              </w:rPr>
              <w:t xml:space="preserve">    info = engine.analyse(board, Limit(depth=20), multipv=2)</w:t>
            </w:r>
          </w:p>
          <w:p>
            <w:pPr>
              <w:spacing w:before="0" w:after="60"/>
            </w:pPr>
            <w:r>
              <w:rPr>
                <w:rFonts w:ascii="Courier New" w:cs="Courier New" w:eastAsia="Courier New" w:hAnsi="Courier New"/>
                <w:color w:val="1A3A5C"/>
                <w:sz w:val="18"/>
                <w:szCs w:val="18"/>
              </w:rPr>
              <w:t xml:space="preserve">    best = info[0]['score'].relative.score(mate_score=10000)</w:t>
            </w:r>
          </w:p>
          <w:p>
            <w:pPr>
              <w:spacing w:before="0" w:after="60"/>
            </w:pPr>
            <w:r>
              <w:rPr>
                <w:rFonts w:ascii="Courier New" w:cs="Courier New" w:eastAsia="Courier New" w:hAnsi="Courier New"/>
                <w:color w:val="1A3A5C"/>
                <w:sz w:val="18"/>
                <w:szCs w:val="18"/>
              </w:rPr>
              <w:t xml:space="preserve">    second = info[1]['score'].relative.score(mate_score=10000)</w:t>
            </w:r>
          </w:p>
          <w:p>
            <w:pPr>
              <w:spacing w:before="0" w:after="0"/>
            </w:pPr>
            <w:r>
              <w:rPr>
                <w:rFonts w:ascii="Courier New" w:cs="Courier New" w:eastAsia="Courier New" w:hAnsi="Courier New"/>
                <w:color w:val="1A3A5C"/>
                <w:sz w:val="18"/>
                <w:szCs w:val="18"/>
              </w:rPr>
              <w:t xml:space="preserve">    return (best - second) &gt; threshold_cp</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2.4  The Analysis Window</w:t>
      </w:r>
    </w:p>
    <w:p>
      <w:pPr>
        <w:spacing w:before="80" w:after="140"/>
      </w:pPr>
      <w:r>
        <w:rPr>
          <w:rFonts w:ascii="Arial" w:cs="Arial" w:eastAsia="Arial" w:hAnsi="Arial"/>
          <w:color w:val="2C3E50"/>
          <w:sz w:val="22"/>
          <w:szCs w:val="22"/>
        </w:rPr>
        <w:t xml:space="preserve">After all filtering, the remaining moves constitute the Analysis Window — the only positions where genuine chess understanding is required. Engine agreement, centipawn loss, and all other metrics are computed exclusively over this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Position Type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Opening book position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EXCLUDED — no analysis performed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Syzygy tablebase position (≤7 pieces)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EXCLUDED — no analysis performed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Forced move (best move &gt; 50cp ahead)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EXCLUDED — not counted in engine match</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Complex middlegame position (non-trivial)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INCLUDED ✓ — full analysis performed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Non-trivial endgame with multiple candidates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INCLUDED ✓ — full analysis performed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D0DCF0" w:sz="1"/>
              <w:right w:val="single" w:color="D0DCF0" w:sz="1"/>
            </w:tcBorders>
            <w:shd w:fill="FDECEA" w:val="clear"/>
            <w:tcMar>
              <w:top w:type="dxa" w:w="160"/>
              <w:left w:type="dxa" w:w="280"/>
              <w:bottom w:type="dxa" w:w="160"/>
              <w:right w:type="dxa" w:w="280"/>
            </w:tcMar>
          </w:tcPr>
          <w:p>
            <w:r>
              <w:rPr>
                <w:rFonts w:ascii="Arial" w:cs="Arial" w:eastAsia="Arial" w:hAnsi="Arial"/>
                <w:b/>
                <w:bCs/>
                <w:color w:val="C0392B"/>
                <w:sz w:val="22"/>
                <w:szCs w:val="22"/>
              </w:rPr>
              <w:t xml:space="preserve">⚠ CRITICAL: </w:t>
            </w:r>
            <w:r>
              <w:rPr>
                <w:rFonts w:ascii="Arial" w:cs="Arial" w:eastAsia="Arial" w:hAnsi="Arial"/>
                <w:color w:val="2C3E50"/>
                <w:sz w:val="22"/>
                <w:szCs w:val="22"/>
              </w:rPr>
              <w:t xml:space="preserve">The analyzed_move_count must be stored in every assessment record. A game with a small analysis window (e.g., 12 analysed moves from a 40-move game) has a wider confidence interval. The system must reflect this uncertainty in the risk score and the report. Small samples reduce confidence — never inflate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03</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The Five Signal Layers — Multi-Factor Anomaly Detection</w:t>
            </w:r>
          </w:p>
        </w:tc>
      </w:tr>
    </w:tbl>
    <w:p>
      <w:pPr>
        <w:spacing w:before="0" w:after="120"/>
      </w:pPr>
      <w:r>
        <w:t xml:space="preserve"/>
      </w:r>
    </w:p>
    <w:p>
      <w:pPr>
        <w:spacing w:before="80" w:after="140"/>
      </w:pPr>
      <w:r>
        <w:rPr>
          <w:rFonts w:ascii="Arial" w:cs="Arial" w:eastAsia="Arial" w:hAnsi="Arial"/>
          <w:color w:val="2C3E50"/>
          <w:sz w:val="22"/>
          <w:szCs w:val="22"/>
        </w:rPr>
        <w:t xml:space="preserve">Hamduk Labs uses five independent signal layers. No single layer is sufficient to produce an Elevated or High Statistical Anomaly classification. A minimum of three independent signals must exceed their respective thresholds.</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Signal Layer 1: Engine Agreement &amp; Move Quality (IPR-Derived)</w:t>
      </w:r>
    </w:p>
    <w:p>
      <w:pPr>
        <w:spacing w:before="80" w:after="140"/>
      </w:pPr>
      <w:r>
        <w:rPr>
          <w:rFonts w:ascii="Arial" w:cs="Arial" w:eastAsia="Arial" w:hAnsi="Arial"/>
          <w:color w:val="2C3E50"/>
          <w:sz w:val="22"/>
          <w:szCs w:val="22"/>
        </w:rPr>
        <w:t xml:space="preserve">This layer implements the Regan IPR methodology, enhanced with multi-PV analysis and full phase filtering.</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Features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engine_match_pct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of moves in the analysis window that match Stockfish's best move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top3_match_pct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of moves within the top 3 engine suggestions (less strict — important for strong players)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avg_centipawn_loss (ACL)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Mean centipawn loss across all analysed moves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acl_normalized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ACL normalized against player's own historical baseline (not population average)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median_centipawn_loss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Median CPL — more robust to outliers than mean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centipawn_loss_variance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Variance of CPL across moves. Suspiciously low variance in a complex game is a red flag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pep_score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Pawns in Equal Positions — Regan's core metric, computed only in balanced positions (eval between −100cp and +100cp)</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ipr_estimate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Estimated Intrinsic Performance Rating for this game/tournament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ipr_vs_official_elo_delta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Difference between IPR estimate and official FIDE Elo</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ipr_z_score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Z-score of IPR delta against the player's own historical IPR distribution</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Signal Layer 2: Complexity-Adjusted Accuracy</w:t>
      </w:r>
    </w:p>
    <w:p>
      <w:pPr>
        <w:spacing w:before="80" w:after="140"/>
      </w:pPr>
      <w:r>
        <w:rPr>
          <w:rFonts w:ascii="Arial" w:cs="Arial" w:eastAsia="Arial" w:hAnsi="Arial"/>
          <w:color w:val="2C3E50"/>
          <w:sz w:val="22"/>
          <w:szCs w:val="22"/>
        </w:rPr>
        <w:t xml:space="preserve">This is one of the most important enhancements over the pure Regan model. The key insight is that finding the engine's best move in a complex position — where multiple candidates exist and the differences between them are subtle — is far more suspicious than finding it in a simple position.</w:t>
      </w:r>
    </w:p>
    <w:p>
      <w:pPr>
        <w:spacing w:before="80" w:after="140"/>
      </w:pPr>
      <w:r>
        <w:rPr>
          <w:rFonts w:ascii="Arial" w:cs="Arial" w:eastAsia="Arial" w:hAnsi="Arial"/>
          <w:color w:val="2C3E50"/>
          <w:sz w:val="22"/>
          <w:szCs w:val="22"/>
        </w:rPr>
        <w:t xml:space="preserve">A GM will naturally find obvious moves. What is anomalous is consistently finding the best move in positions where even engines at lower depth disagree about the ranking.</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Features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complexity_score_per_move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Number of legal moves within 50cp of the best move. Higher = more complex</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accuracy_in_complex_positions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Engine match % only for positions with complexity score ≥ 3</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accuracy_in_simple_positions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Engine match % only for positions with complexity score ≤ 1 (control metric)</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complexity_accuracy_ratio</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accuracy_in_complex ÷ accuracy_in_simple. If &gt; 1.0, player is MORE accurate in hard positions than easy ones — the strongest single-game red flag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critical_moment_accuracy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Engine match % in positions where the eval swing from best to second-best move exceeds 100cp</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avg_candidate_moves_in_window</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Average number of viable candidates across the analysis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C0392B"/>
                <w:sz w:val="22"/>
                <w:szCs w:val="22"/>
              </w:rPr>
              <w:t xml:space="preserve">Why complexity_accuracy_ratio &gt; 1.0 is the strongest signal</w:t>
            </w:r>
          </w:p>
          <w:p>
            <w:pPr>
              <w:spacing w:before="0" w:after="0"/>
            </w:pPr>
            <w:r>
              <w:rPr>
                <w:rFonts w:ascii="Arial" w:cs="Arial" w:eastAsia="Arial" w:hAnsi="Arial"/>
                <w:color w:val="2C3E50"/>
                <w:sz w:val="22"/>
                <w:szCs w:val="22"/>
              </w:rPr>
              <w:t xml:space="preserve">Legitimate strong players are MORE accurate in simple positions and LESS accurate in complex ones. Their skill gives them pattern recognition in common structures but they still struggle in unprecedented complexity. A player who is equally or more accurate when the position is harder is exhibiting a pattern inconsistent with human cognition — it matches the pattern of selective engine consultation in difficult moments.</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Signal Layer 3: Time-Complexity Correlation</w:t>
      </w:r>
    </w:p>
    <w:p>
      <w:pPr>
        <w:spacing w:before="80" w:after="140"/>
      </w:pPr>
      <w:r>
        <w:rPr>
          <w:rFonts w:ascii="Arial" w:cs="Arial" w:eastAsia="Arial" w:hAnsi="Arial"/>
          <w:color w:val="2C3E50"/>
          <w:sz w:val="22"/>
          <w:szCs w:val="22"/>
        </w:rPr>
        <w:t xml:space="preserve">Human chess players universally spend more time in complex positions. This is not a tendency — it is a cognitive law. Complexity demands calculation time. Any significant deviation from this pattern requires explanation.</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Features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time_complexity_correlation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Pearson correlation between time spent per move and position complexity score. Expected range for humans: +0.3 to +0.8</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fast_engine_move_rate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of engine-matching moves played in under 10 seconds in positions with complexity score ≥ 3</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think_then_engine_rate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of moves where player thought &gt; 90 seconds AND played engine best move in complex position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time_variance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Variance of time across moves. Both extremely consistent AND extremely erratic timing patterns are signals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avg_time_complex_vs_simple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Ratio of average time in complex positions vs simple positions. Expected &gt; 2.0 for legitimate players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time_clustering_anomaly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Boolean: True if time usage pattern shows statistically unusual clustering (e.g., long pause before every engine move)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D0DCF0" w:sz="1"/>
              <w:right w:val="single" w:color="D0DCF0" w:sz="1"/>
            </w:tcBorders>
            <w:shd w:fill="FDECEA" w:val="clear"/>
            <w:tcMar>
              <w:top w:type="dxa" w:w="160"/>
              <w:left w:type="dxa" w:w="280"/>
              <w:bottom w:type="dxa" w:w="160"/>
              <w:right w:type="dxa" w:w="280"/>
            </w:tcMar>
          </w:tcPr>
          <w:p>
            <w:r>
              <w:rPr>
                <w:rFonts w:ascii="Arial" w:cs="Arial" w:eastAsia="Arial" w:hAnsi="Arial"/>
                <w:b/>
                <w:bCs/>
                <w:color w:val="C0392B"/>
                <w:sz w:val="22"/>
                <w:szCs w:val="22"/>
              </w:rPr>
              <w:t xml:space="preserve">⚠ CRITICAL: </w:t>
            </w:r>
            <w:r>
              <w:rPr>
                <w:rFonts w:ascii="Arial" w:cs="Arial" w:eastAsia="Arial" w:hAnsi="Arial"/>
                <w:color w:val="2C3E50"/>
                <w:sz w:val="22"/>
                <w:szCs w:val="22"/>
              </w:rPr>
              <w:t xml:space="preserve">Timing data is only available for games with clock data in the PGN. If timing data is absent, Layer 3 features are marked as null and the weight of other layers is redistributed. Never impute timing signals — absent data must be represented as absent, not estimated.</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Signal Layer 4: Historical Baseline Deviation</w:t>
      </w:r>
    </w:p>
    <w:p>
      <w:pPr>
        <w:spacing w:before="80" w:after="140"/>
      </w:pPr>
      <w:r>
        <w:rPr>
          <w:rFonts w:ascii="Arial" w:cs="Arial" w:eastAsia="Arial" w:hAnsi="Arial"/>
          <w:color w:val="2C3E50"/>
          <w:sz w:val="22"/>
          <w:szCs w:val="22"/>
        </w:rPr>
        <w:t xml:space="preserve">This layer compares the current performance not against a population average but against the player's own established baseline. This is the most important enhancement over naive anti-cheat systems. A 2700 GM playing at 2700 level is not suspicious — even if their raw engine agreement figure looks high — because that is their established norm. What is suspicious is an 1800 player suddenly performing at 2400 level.</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Features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historical_avg_acl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Player's average centipawn loss across all their stored games in the database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historical_acl_std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Standard deviation of their ACL across games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acl_z_score_vs_self</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Z-score of this game's ACL against their own historical distribution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historical_avg_ipr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Player's average IPR across stored games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ipr_z_score_vs_self</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Z-score of this game's IPR against their own historical distribution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performance_rating_this_event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Tournament performance rating computed from results in this event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historical_avg_performance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Player's historical average tournament performance rating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performance_spike_z_score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Z-score of current performance rating against historical performance distribution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rating_band_context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Whether the player's opponent pool in this event is significantly weaker than their norm (would explain performance boost without cheating)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Cold Start Problem</w:t>
            </w:r>
          </w:p>
          <w:p>
            <w:pPr>
              <w:spacing w:before="0" w:after="0"/>
            </w:pPr>
            <w:r>
              <w:rPr>
                <w:rFonts w:ascii="Arial" w:cs="Arial" w:eastAsia="Arial" w:hAnsi="Arial"/>
                <w:color w:val="2C3E50"/>
                <w:sz w:val="22"/>
                <w:szCs w:val="22"/>
              </w:rPr>
              <w:t xml:space="preserve">For new players with fewer than 10 historical games in the database, Layer 4 features cannot be reliably computed. In these cases, the system falls back to comparing against the rating-band population distribution and widens the confidence interval. The risk tier is capped at Moderate for new players unless Layers 1, 2, and 3 all show strong signals independently.</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Signal Layer 5: Consistency &amp; Behavioural Pattern Analysis</w:t>
      </w:r>
    </w:p>
    <w:p>
      <w:pPr>
        <w:spacing w:before="80" w:after="140"/>
      </w:pPr>
      <w:r>
        <w:rPr>
          <w:rFonts w:ascii="Arial" w:cs="Arial" w:eastAsia="Arial" w:hAnsi="Arial"/>
          <w:color w:val="2C3E50"/>
          <w:sz w:val="22"/>
          <w:szCs w:val="22"/>
        </w:rPr>
        <w:t xml:space="preserve">This layer examines patterns across moves and across rounds that are inconsistent with natural human play. It is the lowest-weighted layer and is never used as a standalone trigger — only as supporting evidence when Layers 1–4 already show anomalies.</w:t>
      </w:r>
    </w:p>
    <w:p>
      <w:pPr>
        <w:spacing w:before="0" w:after="120"/>
      </w:pPr>
      <w:r>
        <w:t xml:space="preserve"/>
      </w:r>
    </w:p>
    <w:p>
      <w:pPr>
        <w:pStyle w:val="Heading3"/>
        <w:spacing w:before="260" w:after="160"/>
      </w:pPr>
      <w:r>
        <w:rPr>
          <w:rFonts w:ascii="Arial" w:cs="Arial" w:eastAsia="Arial" w:hAnsi="Arial"/>
          <w:b/>
          <w:bCs/>
          <w:color w:val="1E6FDB"/>
          <w:sz w:val="26"/>
          <w:szCs w:val="26"/>
        </w:rPr>
        <w:t xml:space="preserve">Features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move_quality_clustering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Are high-quality moves clustered in certain game phases or uniformly distributed? Clustering may suggest targeted assistance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blunder_rate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Humans blunder. A zero-blunder rate in a genuinely complex game from an average-rated player is unusual</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inaccuracy_rate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Human players at all levels make inaccuracies. Abnormally low inaccuracy rate is a signal</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round_by_round_consistency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Does quality spike in specific rounds? Inconsistent cheating often produces uneven quality distribution across rounds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opponent_strength_correlation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Does quality suspiciously increase only against stronger opponents? Legitimate players may try harder against stronger players but the statistical pattern differs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game_phase_quality_distribution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Opening vs middlegame vs endgame quality distribution. Unusual peaks in specific phases warrant examination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04</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Risk Fusion Layer — Combining Signals Into a Defensible Score</w:t>
            </w:r>
          </w:p>
        </w:tc>
      </w:tr>
    </w:tbl>
    <w:p>
      <w:pPr>
        <w:spacing w:before="0" w:after="120"/>
      </w:pPr>
      <w:r>
        <w:t xml:space="preserve"/>
      </w:r>
    </w:p>
    <w:p>
      <w:pPr>
        <w:spacing w:before="80" w:after="140"/>
      </w:pPr>
      <w:r>
        <w:rPr>
          <w:rFonts w:ascii="Arial" w:cs="Arial" w:eastAsia="Arial" w:hAnsi="Arial"/>
          <w:color w:val="2C3E50"/>
          <w:sz w:val="22"/>
          <w:szCs w:val="22"/>
        </w:rPr>
        <w:t xml:space="preserve">The Risk Fusion Layer is where individual signal scores are combined into a final risk tier. This is not a simple summation — it is a weighted, threshold-gated model that requires multiple independent signals to align before elevating risk.</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4.1  XGBoost Classifier</w:t>
      </w:r>
    </w:p>
    <w:p>
      <w:pPr>
        <w:spacing w:before="80" w:after="140"/>
      </w:pPr>
      <w:r>
        <w:rPr>
          <w:rFonts w:ascii="Arial" w:cs="Arial" w:eastAsia="Arial" w:hAnsi="Arial"/>
          <w:color w:val="2C3E50"/>
          <w:sz w:val="22"/>
          <w:szCs w:val="22"/>
        </w:rPr>
        <w:t xml:space="preserve">The primary ML model is XGBoost, trained on a labelled dataset of known clean games (verified GM games, Lichess clean accounts) and known anomalous games (Lichess flagged accounts, documented historical cheating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Value &amp; Rationale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Type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XGBoost Binary Classifier (gradient boosted trees)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Target Label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0 = clean, 1 = statistical anomaly requiring review (never "cheating confirmed")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Class Imbalance Handling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scale_pos_weight parameter + SMOTE oversampling via imbalanced-learn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Feature Importance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XGBoost native feature_importances_ + SHAP TreeExplainer</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Probability Calibration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sklearn CalibratedClassifierCV (isotonic regression) — raw scores are NOT probabilities; calibration is mandatory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Decision Threshold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Calibrated to achieve &lt; 1% FPR on validation set — not default 0.5</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Cross-Validation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5-fold stratified CV on training data; held-out test set for final evaluation</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4.2  Isolation Forest (Secondary Anomaly Detector)</w:t>
      </w:r>
    </w:p>
    <w:p>
      <w:pPr>
        <w:spacing w:before="80" w:after="140"/>
      </w:pPr>
      <w:r>
        <w:rPr>
          <w:rFonts w:ascii="Arial" w:cs="Arial" w:eastAsia="Arial" w:hAnsi="Arial"/>
          <w:color w:val="2C3E50"/>
          <w:sz w:val="22"/>
          <w:szCs w:val="22"/>
        </w:rPr>
        <w:t xml:space="preserve">An unsupervised Isolation Forest runs in parallel with XGBoost. It does not use labels — it simply identifies feature vectors that are statistically unusual relative to the full training dataset.</w:t>
      </w:r>
    </w:p>
    <w:p>
      <w:pPr>
        <w:spacing w:before="80" w:after="140"/>
      </w:pPr>
      <w:r>
        <w:rPr>
          <w:rFonts w:ascii="Arial" w:cs="Arial" w:eastAsia="Arial" w:hAnsi="Arial"/>
          <w:color w:val="2C3E50"/>
          <w:sz w:val="22"/>
          <w:szCs w:val="22"/>
        </w:rPr>
        <w:t xml:space="preserve">The Isolation Forest catches patterns that the supervised model may miss if they are not well-represented in labelled training data. Its output is a supporting signal that increases confidence when it agrees with XGBoost, not a standalone trigger.</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4.3  Minimum Trigger Threshold</w:t>
      </w:r>
    </w:p>
    <w:p>
      <w:pPr>
        <w:spacing w:before="80" w:after="140"/>
      </w:pPr>
      <w:r>
        <w:rPr>
          <w:rFonts w:ascii="Arial" w:cs="Arial" w:eastAsia="Arial" w:hAnsi="Arial"/>
          <w:color w:val="2C3E50"/>
          <w:sz w:val="22"/>
          <w:szCs w:val="22"/>
        </w:rPr>
        <w:t xml:space="preserve">This is a hard architectural rule. No risk tier above Moderate can be assigned unless a minimum number of independent layers have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Risk Tier</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Minimum Requirement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Low</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 layers triggered above threshold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Moderate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1 layer triggered OR both XGBoost and ISO Forest flag with moderate confidence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Elevated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 independent layers triggered + XGBoost confidence ≥ 0.65</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High Statistical Anomaly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3+ independent layers triggered + XGBoost confidence ≥ 0.80 + Z-score ≥ 4.0</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4.4  Risk Tier Definitions</w:t>
      </w:r>
    </w:p>
    <w:p>
      <w:pPr>
        <w:spacing w:before="80" w:after="140"/>
      </w:pPr>
      <w:r>
        <w:rPr>
          <w:rFonts w:ascii="Arial" w:cs="Arial" w:eastAsia="Arial" w:hAnsi="Arial"/>
          <w:color w:val="2C3E50"/>
          <w:sz w:val="22"/>
          <w:szCs w:val="22"/>
        </w:rPr>
        <w:t xml:space="preserve">The system produces exactly one of four risk tiers. The language used in outputs is deliberate and must never be altered: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Risk Tier</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Low</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Play is within statistically expected parameters for the player's rating and history. No anomalous patterns detected.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Moderate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One or more minor anomalies detected but below the threshold for serious concern. May warrant monitoring in future events.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Elevated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Multiple independent statistical anomalies detected. Requires review by a qualified arbiter before any action is taken.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High Statistical Anomaly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Statistically significant multi-signal anomaly. Strong advisory for human adjudication. All findings are probabilistic and require formal investigation.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D0DCF0" w:sz="1"/>
              <w:right w:val="single" w:color="D0DCF0" w:sz="1"/>
            </w:tcBorders>
            <w:shd w:fill="FDECEA" w:val="clear"/>
            <w:tcMar>
              <w:top w:type="dxa" w:w="160"/>
              <w:left w:type="dxa" w:w="280"/>
              <w:bottom w:type="dxa" w:w="160"/>
              <w:right w:type="dxa" w:w="280"/>
            </w:tcMar>
          </w:tcPr>
          <w:p>
            <w:r>
              <w:rPr>
                <w:rFonts w:ascii="Arial" w:cs="Arial" w:eastAsia="Arial" w:hAnsi="Arial"/>
                <w:b/>
                <w:bCs/>
                <w:color w:val="C0392B"/>
                <w:sz w:val="22"/>
                <w:szCs w:val="22"/>
              </w:rPr>
              <w:t xml:space="preserve">⚠ CRITICAL: </w:t>
            </w:r>
            <w:r>
              <w:rPr>
                <w:rFonts w:ascii="Arial" w:cs="Arial" w:eastAsia="Arial" w:hAnsi="Arial"/>
                <w:color w:val="2C3E50"/>
                <w:sz w:val="22"/>
                <w:szCs w:val="22"/>
              </w:rPr>
              <w:t xml:space="preserve">The phrases "Cheating Detected", "Confirmed Cheater", or any equivalent must never appear in any system output, report, log, or user interface element. Violation of this rule creates immediate legal liability. The system produces statistical evidence. Humans produce verdicts.</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4.5  Confidence Score &amp; Confidence Interval</w:t>
      </w:r>
    </w:p>
    <w:p>
      <w:pPr>
        <w:spacing w:before="80" w:after="140"/>
      </w:pPr>
      <w:r>
        <w:rPr>
          <w:rFonts w:ascii="Arial" w:cs="Arial" w:eastAsia="Arial" w:hAnsi="Arial"/>
          <w:color w:val="2C3E50"/>
          <w:sz w:val="22"/>
          <w:szCs w:val="22"/>
        </w:rPr>
        <w:t xml:space="preserve">Every assessment includes a calibrated confidence score (0.0–1.0) and a confidence interval derived from the number of analysed moves. Wider intervals occur with smaller analysis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Example Output Structure</w:t>
            </w:r>
          </w:p>
          <w:p>
            <w:pPr>
              <w:spacing w:before="0" w:after="60"/>
            </w:pPr>
            <w:r>
              <w:rPr>
                <w:rFonts w:ascii="Courier New" w:cs="Courier New" w:eastAsia="Courier New" w:hAnsi="Courier New"/>
                <w:color w:val="1A3A5C"/>
                <w:sz w:val="18"/>
                <w:szCs w:val="18"/>
              </w:rPr>
              <w:t xml:space="preserve">{ "risk_tier": "Elevated",</w:t>
            </w:r>
          </w:p>
          <w:p>
            <w:pPr>
              <w:spacing w:before="0" w:after="60"/>
            </w:pPr>
            <w:r>
              <w:rPr>
                <w:rFonts w:ascii="Courier New" w:cs="Courier New" w:eastAsia="Courier New" w:hAnsi="Courier New"/>
                <w:color w:val="1A3A5C"/>
                <w:sz w:val="18"/>
                <w:szCs w:val="18"/>
              </w:rPr>
              <w:t xml:space="preserve">  "confidence_score": 0.74,</w:t>
            </w:r>
          </w:p>
          <w:p>
            <w:pPr>
              <w:spacing w:before="0" w:after="60"/>
            </w:pPr>
            <w:r>
              <w:rPr>
                <w:rFonts w:ascii="Courier New" w:cs="Courier New" w:eastAsia="Courier New" w:hAnsi="Courier New"/>
                <w:color w:val="1A3A5C"/>
                <w:sz w:val="18"/>
                <w:szCs w:val="18"/>
              </w:rPr>
              <w:t xml:space="preserve">  "confidence_interval": [0.68, 0.80],</w:t>
            </w:r>
          </w:p>
          <w:p>
            <w:pPr>
              <w:spacing w:before="0" w:after="60"/>
            </w:pPr>
            <w:r>
              <w:rPr>
                <w:rFonts w:ascii="Courier New" w:cs="Courier New" w:eastAsia="Courier New" w:hAnsi="Courier New"/>
                <w:color w:val="1A3A5C"/>
                <w:sz w:val="18"/>
                <w:szCs w:val="18"/>
              </w:rPr>
              <w:t xml:space="preserve">  "analyzed_move_count": 24,</w:t>
            </w:r>
          </w:p>
          <w:p>
            <w:pPr>
              <w:spacing w:before="0" w:after="60"/>
            </w:pPr>
            <w:r>
              <w:rPr>
                <w:rFonts w:ascii="Courier New" w:cs="Courier New" w:eastAsia="Courier New" w:hAnsi="Courier New"/>
                <w:color w:val="1A3A5C"/>
                <w:sz w:val="18"/>
                <w:szCs w:val="18"/>
              </w:rPr>
              <w:t xml:space="preserve">  "triggered_signals": ["ipr_z_score", "time_complexity_correlation", "performance_spike"],</w:t>
            </w:r>
          </w:p>
          <w:p>
            <w:pPr>
              <w:spacing w:before="0" w:after="60"/>
            </w:pPr>
            <w:r>
              <w:rPr>
                <w:rFonts w:ascii="Courier New" w:cs="Courier New" w:eastAsia="Courier New" w:hAnsi="Courier New"/>
                <w:color w:val="1A3A5C"/>
                <w:sz w:val="18"/>
                <w:szCs w:val="18"/>
              </w:rPr>
              <w:t xml:space="preserve">  "shap_explanation": { ... },</w:t>
            </w:r>
          </w:p>
          <w:p>
            <w:pPr>
              <w:spacing w:before="0" w:after="60"/>
            </w:pPr>
            <w:r>
              <w:rPr>
                <w:rFonts w:ascii="Courier New" w:cs="Courier New" w:eastAsia="Courier New" w:hAnsi="Courier New"/>
                <w:color w:val="1A3A5C"/>
                <w:sz w:val="18"/>
                <w:szCs w:val="18"/>
              </w:rPr>
              <w:t xml:space="preserve">  "model_version": "hamduk-v1.0.3",</w:t>
            </w:r>
          </w:p>
          <w:p>
            <w:pPr>
              <w:spacing w:before="0" w:after="0"/>
            </w:pPr>
            <w:r>
              <w:rPr>
                <w:rFonts w:ascii="Courier New" w:cs="Courier New" w:eastAsia="Courier New" w:hAnsi="Courier New"/>
                <w:color w:val="1A3A5C"/>
                <w:sz w:val="18"/>
                <w:szCs w:val="18"/>
              </w:rPr>
              <w:t xml:space="preserve">  "recommendation": "Requires human adjudication. This report is advisory."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05</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Explainability — SHAP Values &amp; Plain-Language Reporting</w:t>
            </w:r>
          </w:p>
        </w:tc>
      </w:tr>
    </w:tbl>
    <w:p>
      <w:pPr>
        <w:spacing w:before="0" w:after="120"/>
      </w:pPr>
      <w:r>
        <w:t xml:space="preserve"/>
      </w:r>
    </w:p>
    <w:p>
      <w:pPr>
        <w:spacing w:before="80" w:after="140"/>
      </w:pPr>
      <w:r>
        <w:rPr>
          <w:rFonts w:ascii="Arial" w:cs="Arial" w:eastAsia="Arial" w:hAnsi="Arial"/>
          <w:color w:val="2C3E50"/>
          <w:sz w:val="22"/>
          <w:szCs w:val="22"/>
        </w:rPr>
        <w:t xml:space="preserve">Explainability is not a feature — it is a legal and institutional requirement. A risk score without explanation is legally indefensible and will not be accepted by any federation. Every assessment must answer: why was this score produced?</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5.1  SHAP (SHapley Additive exPlanations)</w:t>
      </w:r>
    </w:p>
    <w:p>
      <w:pPr>
        <w:spacing w:before="80" w:after="140"/>
      </w:pPr>
      <w:r>
        <w:rPr>
          <w:rFonts w:ascii="Arial" w:cs="Arial" w:eastAsia="Arial" w:hAnsi="Arial"/>
          <w:color w:val="2C3E50"/>
          <w:sz w:val="22"/>
          <w:szCs w:val="22"/>
        </w:rPr>
        <w:t xml:space="preserve">SHAP is a game-theoretic framework that assigns each input feature a numerical contribution to the model's output for a specific prediction. Unlike global feature importance, SHAP is per-prediction — it explains why this game received this score, not why the model generally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SHAP Output</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Tells the Arbiter</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Positive SHAP value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This feature pushed the risk score higher</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Negative SHAP value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This feature pushed the risk score lower (mitigating factor)</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Magnitude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How much this feature contributed relative to others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Waterfall chart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Visual breakdown showing the cumulative effect of all features on the final score</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5.2  Plain-Language Explanation Generator</w:t>
      </w:r>
    </w:p>
    <w:p>
      <w:pPr>
        <w:spacing w:before="80" w:after="140"/>
      </w:pPr>
      <w:r>
        <w:rPr>
          <w:rFonts w:ascii="Arial" w:cs="Arial" w:eastAsia="Arial" w:hAnsi="Arial"/>
          <w:color w:val="2C3E50"/>
          <w:sz w:val="22"/>
          <w:szCs w:val="22"/>
        </w:rPr>
        <w:t xml:space="preserve">Every triggered signal is converted to a plain-English sentence that can be understood by a non-technical arbiter. These explanations are generated from SHAP values and feature values, not from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Example Generated Explanation</w:t>
            </w:r>
          </w:p>
          <w:p>
            <w:pPr>
              <w:spacing w:before="0" w:after="100"/>
            </w:pPr>
            <w:r>
              <w:rPr>
                <w:rFonts w:ascii="Arial" w:cs="Arial" w:eastAsia="Arial" w:hAnsi="Arial"/>
                <w:color w:val="2C3E50"/>
                <w:sz w:val="22"/>
                <w:szCs w:val="22"/>
              </w:rPr>
              <w:t xml:space="preserve">"The player's Intrinsic Performance Rating for this game is estimated at 2,410 — approximately 340 points above their official FIDE rating of 2,070. This discrepancy places the performance at 3.8 standard deviations above the expected distribution for players of this rating, with a probability of natural occurrence of approximately 1 in 13,000."</w:t>
            </w:r>
          </w:p>
          <w:p>
            <w:pPr>
              <w:spacing w:before="0" w:after="100"/>
            </w:pPr>
            <w:r>
              <w:rPr>
                <w:rFonts w:ascii="Arial" w:cs="Arial" w:eastAsia="Arial" w:hAnsi="Arial"/>
                <w:color w:val="2C3E50"/>
                <w:sz w:val="22"/>
                <w:szCs w:val="22"/>
              </w:rPr>
              <w:t xml:space="preserve">"The player's time-complexity correlation coefficient was measured at −0.12. Expected range for a player of this rating is +0.35 to +0.70. This indicates that the player did not spend proportionally more time in complex positions — a pattern inconsistent with natural chess cognition."</w:t>
            </w:r>
          </w:p>
          <w:p>
            <w:pPr>
              <w:spacing w:before="0" w:after="0"/>
            </w:pPr>
            <w:r>
              <w:rPr>
                <w:rFonts w:ascii="Arial" w:cs="Arial" w:eastAsia="Arial" w:hAnsi="Arial"/>
                <w:color w:val="2C3E50"/>
                <w:sz w:val="22"/>
                <w:szCs w:val="22"/>
              </w:rPr>
              <w:t xml:space="preserve">"The player's complexity-adjusted accuracy ratio was 1.34 — meaning the player was 34% more accurate in positions with multiple viable candidates than in positions with obvious continuations. Across the Lichess database of 2,100-rated players, this ratio exceeds 1.0 in fewer than 2.1% of clean games."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06</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Complete Technology Stack</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6.1  AI &amp; Analysis Layer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Library</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python-chess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1.10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PGN parsing, board manipulation, legal move generation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Stockfish 16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16.x binary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Position evaluation, multi-PV analysis, centipawn scoring</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chess.polyglot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bundled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Opening book reading for theory position exclusion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chess.syzygy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bundled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Tablebase probing for endgame exclusion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pandas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2.0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Feature tables, data manipulation, aggregation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NumPy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1.24</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Numerical computation, array operations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scipy.stats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1.11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Z-score computation, distribution fitting, statistical tests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scikit-learn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1.3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Preprocessing, calibration, Isolation Forest, model pipelines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XGBoost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2.0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Primary gradient boosting classifier</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imbalanced-learn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0.11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SMOTE oversampling for imbalanced training data</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SHAP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0.43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Per-prediction explainability via TreeExplainer</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6.2  Backend API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API Framework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FastAPI</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REST endpoints, request validation, OpenAPI documentation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Task Queue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Celery + Redis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Async Stockfish analysis jobs, non-blocking PGN processing</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ORM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SQLAlchemy + asyncpg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Async database access layer for Supabase PostgreSQL</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Supabase Auth + JWT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Role-based access control for arbiters, admins, federations</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Pydantic v2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Request/response schema validation and serialisation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PDF Generation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ReportLab / WeasyPrint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Arbiter report generation with charts and SHAP visualisations</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Caching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Redis + pickle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Cache Stockfish evaluations per position hash (7-day TTL)</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6.3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Supabase PostgreSQL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Primary persistent store: players, games, assessments, audit logs, reports, user accounts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Supabase Storage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PGN file storage, generated PDF reports, model artifacts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Supabase Auth</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 authentication, role management, JWT tokens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Supabase Realtime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Live dashboard updates when analysis jobs complete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Redis (Upstash or self-hosted)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Celery broker and result backend, position evaluation cache, session data, rate limiting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Row Level Security (RLS)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Enforced at DB layer: arbiters see only assigned tournaments, admins see all</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6.4  Frontend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Next.js 14 (App Router)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Full-stack React framework, server components, API routes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TailwindCSS + ShadCN UI</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Component library, consistent design system</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Recharts / D3.js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Move quality charts, CPL graphs, time usage overlays, SHAP waterfall charts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Supabase JS Client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Realtime subscriptions for live analysis updates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React PDF / iframe render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In-browser PDF report viewing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Zustand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Lightweight client state management for analysis workflow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07</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Supabase Database Schema</w:t>
            </w:r>
          </w:p>
        </w:tc>
      </w:tr>
    </w:tbl>
    <w:p>
      <w:pPr>
        <w:spacing w:before="0" w:after="120"/>
      </w:pPr>
      <w:r>
        <w:t xml:space="preserve"/>
      </w:r>
    </w:p>
    <w:p>
      <w:pPr>
        <w:spacing w:before="80" w:after="140"/>
      </w:pPr>
      <w:r>
        <w:rPr>
          <w:rFonts w:ascii="Arial" w:cs="Arial" w:eastAsia="Arial" w:hAnsi="Arial"/>
          <w:color w:val="2C3E50"/>
          <w:sz w:val="22"/>
          <w:szCs w:val="22"/>
        </w:rPr>
        <w:t xml:space="preserve">The schema is designed for auditability, traceability, and legal defensibility. Append-only audit logging is enforced at the database level via PostgreSQL triggers.</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Key Columns &amp; Purpose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players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fide_id, name, rating, rating_history[], historical_acl_avg, historical_acl_std, historical_ipr_avg, historical_ipr_std, game_count, created_at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tournaments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name, federation_id, location, date_start, date_end, time_control, arbiter_id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games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player_id, tournament_id, opponent_id, result, pgn_storage_url, pgn_hash, move_count, analyzed_move_count, created_at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moves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game_id, move_number, san, uci, time_spent_seconds, engine_best_move, centipawn_loss, complexity_score, candidate_count, is_in_analysis_window, excluded_reason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assessments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game_id, player_id, risk_tier, confidence_score, confidence_lower, confidence_upper, ipr_estimate, ipr_z_score, triggered_signals[], shap_values (JSONB), model_version, analyzed_move_count, created_at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audit_log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assessment_id, actor_id, action_type, details (JSONB), ip_address, created_at — IMMUTABLE, insert-only, no update/delete permissions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assessment_id, version, pdf_storage_url, generated_by, generated_at, locked_at — once locked, no edits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email, role (arbiter/chief_arbiter/federation_admin/system_admin), federation_id, created_at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Arial" w:cs="Arial" w:eastAsia="Arial" w:hAnsi="Arial"/>
                <w:b/>
                <w:bCs/>
                <w:color w:val="1E6FDB"/>
                <w:sz w:val="22"/>
                <w:szCs w:val="22"/>
              </w:rPr>
              <w:t xml:space="preserve">Immutable Audit Log Enforcement</w:t>
            </w:r>
          </w:p>
          <w:p>
            <w:pPr>
              <w:spacing w:before="0" w:after="60"/>
            </w:pPr>
            <w:r>
              <w:rPr>
                <w:rFonts w:ascii="Arial" w:cs="Arial" w:eastAsia="Arial" w:hAnsi="Arial"/>
                <w:color w:val="2C3E50"/>
                <w:sz w:val="22"/>
                <w:szCs w:val="22"/>
              </w:rPr>
              <w:t xml:space="preserve">The audit_log table has a PostgreSQL trigger that raises an exception on any UPDATE or DELETE operation. This ensures no assessment decision can be retroactively altered. Every action — analysis run, report generation, risk tier override, arbiter review — is permanently recorded.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08</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System Architecture &amp; Processing Pipeline</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8.1  End-to-End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1. PGN Upload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Arbiter uploads PGN via Next.js dashboard. FastAPI validates format, checks for required clock data, stores to Supabase Storage, creates game record, returns job_id immediately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2. Job Queue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FastAPI pushes analysis job to Redis Celery queue. Dashboard shows 'Processing' status via Supabase Realtime subscription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3. Phase Filtering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Celery worker loads PGN, iterates positions. Each move classified as book/tablebase/forced/analysis-window</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4. Stockfish Analysis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 each in-window move: run Stockfish at depth 20+ in multi-PV mode. Extract best move, centipawn values, complexity score. Check Redis cache first to avoid re-analysis of known positions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5. Feature Extraction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35+ features computed across 5 signal layers. Stored to moves table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6. ML Inference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Feature vector passed to XGBoost + Isolation Forest. Calibrated probability score returned. SHAP values computed via TreeExplainer</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7. Risk Fusion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Signal triggers checked against thresholds. Minimum trigger rule applied. Risk tier and confidence interval assigned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8. Result Storage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Assessment record written to Supabase. Audit log entry created. Supabase Realtime fires event to dashboard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9. Dashboard Update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Next.js dashboard receives real-time update. Arbiter can view full breakdown, move-by-move analysis, SHAP chart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10. Report Generation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Arbiter requests PDF report. ReportLab generates full report with all charts and explanations. Stored to Supabase Storage. Report locked on download</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8.2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FDB" w:sz="4"/>
              <w:left w:val="single" w:color="1E6FDB" w:sz="8"/>
              <w:bottom w:val="single" w:color="D0DCF0" w:sz="1"/>
              <w:right w:val="single" w:color="D0DCF0" w:sz="1"/>
            </w:tcBorders>
            <w:shd w:fill="F0F6FF" w:val="clear"/>
            <w:tcMar>
              <w:top w:type="dxa" w:w="160"/>
              <w:left w:type="dxa" w:w="280"/>
              <w:bottom w:type="dxa" w:w="160"/>
              <w:right w:type="dxa" w:w="280"/>
            </w:tcMar>
          </w:tcPr>
          <w:p>
            <w:pPr>
              <w:spacing w:before="0" w:after="80"/>
            </w:pPr>
            <w:r>
              <w:rPr>
                <w:rFonts w:ascii="Courier New" w:cs="Courier New" w:eastAsia="Courier New" w:hAnsi="Courier New"/>
                <w:color w:val="1A3A5C"/>
                <w:sz w:val="18"/>
                <w:szCs w:val="18"/>
              </w:rPr>
              <w:t xml:space="preserve">┌────────────────────────────────────────────────────────┐</w:t>
            </w:r>
          </w:p>
          <w:p>
            <w:pPr>
              <w:spacing w:before="0" w:after="0"/>
            </w:pPr>
            <w:r>
              <w:rPr>
                <w:rFonts w:ascii="Courier New" w:cs="Courier New" w:eastAsia="Courier New" w:hAnsi="Courier New"/>
                <w:color w:val="1A3A5C"/>
                <w:sz w:val="18"/>
                <w:szCs w:val="18"/>
              </w:rPr>
              <w:t xml:space="preserve">│              Next.js Dashboard (Arbiter UI)            │</w:t>
            </w:r>
          </w:p>
          <w:p>
            <w:pPr>
              <w:spacing w:before="0" w:after="0"/>
            </w:pPr>
            <w:r>
              <w:rPr>
                <w:rFonts w:ascii="Courier New" w:cs="Courier New" w:eastAsia="Courier New" w:hAnsi="Courier New"/>
                <w:color w:val="1A3A5C"/>
                <w:sz w:val="18"/>
                <w:szCs w:val="18"/>
              </w:rPr>
              <w:t xml:space="preserve">│   Upload │ Risk View │ Move Charts │ PDF Report         │</w:t>
            </w:r>
          </w:p>
          <w:p>
            <w:pPr>
              <w:spacing w:before="0" w:after="0"/>
            </w:pPr>
            <w:r>
              <w:rPr>
                <w:rFonts w:ascii="Courier New" w:cs="Courier New" w:eastAsia="Courier New" w:hAnsi="Courier New"/>
                <w:color w:val="1A3A5C"/>
                <w:sz w:val="18"/>
                <w:szCs w:val="18"/>
              </w:rPr>
              <w:t xml:space="preserve">└────────────────────┬──────────────────────────────────┘</w:t>
            </w:r>
          </w:p>
          <w:p>
            <w:pPr>
              <w:spacing w:before="0" w:after="0"/>
            </w:pPr>
            <w:r>
              <w:rPr>
                <w:rFonts w:ascii="Courier New" w:cs="Courier New" w:eastAsia="Courier New" w:hAnsi="Courier New"/>
                <w:color w:val="1A3A5C"/>
                <w:sz w:val="18"/>
                <w:szCs w:val="18"/>
              </w:rPr>
              <w:t xml:space="preserve">                     │ HTTPS + Supabase Realtime         </w:t>
            </w:r>
          </w:p>
          <w:p>
            <w:pPr>
              <w:spacing w:before="0" w:after="0"/>
            </w:pPr>
            <w:r>
              <w:rPr>
                <w:rFonts w:ascii="Courier New" w:cs="Courier New" w:eastAsia="Courier New" w:hAnsi="Courier New"/>
                <w:color w:val="1A3A5C"/>
                <w:sz w:val="18"/>
                <w:szCs w:val="18"/>
              </w:rPr>
              <w:t xml:space="preserve">┌────────────────────▼──────────────────────────────────┐</w:t>
            </w:r>
          </w:p>
          <w:p>
            <w:pPr>
              <w:spacing w:before="0" w:after="0"/>
            </w:pPr>
            <w:r>
              <w:rPr>
                <w:rFonts w:ascii="Courier New" w:cs="Courier New" w:eastAsia="Courier New" w:hAnsi="Courier New"/>
                <w:color w:val="1A3A5C"/>
                <w:sz w:val="18"/>
                <w:szCs w:val="18"/>
              </w:rPr>
              <w:t xml:space="preserve">│             FastAPI Backend (Python)                  │</w:t>
            </w:r>
          </w:p>
          <w:p>
            <w:pPr>
              <w:spacing w:before="0" w:after="0"/>
            </w:pPr>
            <w:r>
              <w:rPr>
                <w:rFonts w:ascii="Courier New" w:cs="Courier New" w:eastAsia="Courier New" w:hAnsi="Courier New"/>
                <w:color w:val="1A3A5C"/>
                <w:sz w:val="18"/>
                <w:szCs w:val="18"/>
              </w:rPr>
              <w:t xml:space="preserve">│  Auth │ PGN Validation │ Job Dispatch │ Report API      │</w:t>
            </w:r>
          </w:p>
          <w:p>
            <w:pPr>
              <w:spacing w:before="0" w:after="0"/>
            </w:pPr>
            <w:r>
              <w:rPr>
                <w:rFonts w:ascii="Courier New" w:cs="Courier New" w:eastAsia="Courier New" w:hAnsi="Courier New"/>
                <w:color w:val="1A3A5C"/>
                <w:sz w:val="18"/>
                <w:szCs w:val="18"/>
              </w:rPr>
              <w:t xml:space="preserve">└────────┬────────────────────────────┬──────────────────┘</w:t>
            </w:r>
          </w:p>
          <w:p>
            <w:pPr>
              <w:spacing w:before="0" w:after="0"/>
            </w:pPr>
            <w:r>
              <w:rPr>
                <w:rFonts w:ascii="Courier New" w:cs="Courier New" w:eastAsia="Courier New" w:hAnsi="Courier New"/>
                <w:color w:val="1A3A5C"/>
                <w:sz w:val="18"/>
                <w:szCs w:val="18"/>
              </w:rPr>
              <w:t xml:space="preserve">         │                            │                   </w:t>
            </w:r>
          </w:p>
          <w:p>
            <w:pPr>
              <w:spacing w:before="0" w:after="0"/>
            </w:pPr>
            <w:r>
              <w:rPr>
                <w:rFonts w:ascii="Courier New" w:cs="Courier New" w:eastAsia="Courier New" w:hAnsi="Courier New"/>
                <w:color w:val="1A3A5C"/>
                <w:sz w:val="18"/>
                <w:szCs w:val="18"/>
              </w:rPr>
              <w:t xml:space="preserve">┌────────▼────────┐    ┌──────────▼────────────────────┐</w:t>
            </w:r>
          </w:p>
          <w:p>
            <w:pPr>
              <w:spacing w:before="0" w:after="0"/>
            </w:pPr>
            <w:r>
              <w:rPr>
                <w:rFonts w:ascii="Courier New" w:cs="Courier New" w:eastAsia="Courier New" w:hAnsi="Courier New"/>
                <w:color w:val="1A3A5C"/>
                <w:sz w:val="18"/>
                <w:szCs w:val="18"/>
              </w:rPr>
              <w:t xml:space="preserve">│  Supabase       │    │  Redis Queue (Celery)          │</w:t>
            </w:r>
          </w:p>
          <w:p>
            <w:pPr>
              <w:spacing w:before="0" w:after="0"/>
            </w:pPr>
            <w:r>
              <w:rPr>
                <w:rFonts w:ascii="Courier New" w:cs="Courier New" w:eastAsia="Courier New" w:hAnsi="Courier New"/>
                <w:color w:val="1A3A5C"/>
                <w:sz w:val="18"/>
                <w:szCs w:val="18"/>
              </w:rPr>
              <w:t xml:space="preserve">│  PostgreSQL     │    └──────────┬────────────────────┘</w:t>
            </w:r>
          </w:p>
          <w:p>
            <w:pPr>
              <w:spacing w:before="0" w:after="0"/>
            </w:pPr>
            <w:r>
              <w:rPr>
                <w:rFonts w:ascii="Courier New" w:cs="Courier New" w:eastAsia="Courier New" w:hAnsi="Courier New"/>
                <w:color w:val="1A3A5C"/>
                <w:sz w:val="18"/>
                <w:szCs w:val="18"/>
              </w:rPr>
              <w:t xml:space="preserve">│  Storage (PGN)  │               │                       </w:t>
            </w:r>
          </w:p>
          <w:p>
            <w:pPr>
              <w:spacing w:before="0" w:after="0"/>
            </w:pPr>
            <w:r>
              <w:rPr>
                <w:rFonts w:ascii="Courier New" w:cs="Courier New" w:eastAsia="Courier New" w:hAnsi="Courier New"/>
                <w:color w:val="1A3A5C"/>
                <w:sz w:val="18"/>
                <w:szCs w:val="18"/>
              </w:rPr>
              <w:t xml:space="preserve">│  Auth + Realtime│    ┌──────────▼────────────────────┐</w:t>
            </w:r>
          </w:p>
          <w:p>
            <w:pPr>
              <w:spacing w:before="0" w:after="0"/>
            </w:pPr>
            <w:r>
              <w:rPr>
                <w:rFonts w:ascii="Courier New" w:cs="Courier New" w:eastAsia="Courier New" w:hAnsi="Courier New"/>
                <w:color w:val="1A3A5C"/>
                <w:sz w:val="18"/>
                <w:szCs w:val="18"/>
              </w:rPr>
              <w:t xml:space="preserve">└─────────────────┘    │  Celery Worker (Python)        │</w:t>
            </w:r>
          </w:p>
          <w:p>
            <w:pPr>
              <w:spacing w:before="0" w:after="0"/>
            </w:pPr>
            <w:r>
              <w:rPr>
                <w:rFonts w:ascii="Courier New" w:cs="Courier New" w:eastAsia="Courier New" w:hAnsi="Courier New"/>
                <w:color w:val="1A3A5C"/>
                <w:sz w:val="18"/>
                <w:szCs w:val="18"/>
              </w:rPr>
              <w:t xml:space="preserve">                       │  ├── Phase Filtering            │</w:t>
            </w:r>
          </w:p>
          <w:p>
            <w:pPr>
              <w:spacing w:before="0" w:after="0"/>
            </w:pPr>
            <w:r>
              <w:rPr>
                <w:rFonts w:ascii="Courier New" w:cs="Courier New" w:eastAsia="Courier New" w:hAnsi="Courier New"/>
                <w:color w:val="1A3A5C"/>
                <w:sz w:val="18"/>
                <w:szCs w:val="18"/>
              </w:rPr>
              <w:t xml:space="preserve">                       │  ├── Stockfish 16 (depth 20+)   │</w:t>
            </w:r>
          </w:p>
          <w:p>
            <w:pPr>
              <w:spacing w:before="0" w:after="0"/>
            </w:pPr>
            <w:r>
              <w:rPr>
                <w:rFonts w:ascii="Courier New" w:cs="Courier New" w:eastAsia="Courier New" w:hAnsi="Courier New"/>
                <w:color w:val="1A3A5C"/>
                <w:sz w:val="18"/>
                <w:szCs w:val="18"/>
              </w:rPr>
              <w:t xml:space="preserve">                       │  ├── Feature Extraction (35+)   │</w:t>
            </w:r>
          </w:p>
          <w:p>
            <w:pPr>
              <w:spacing w:before="0" w:after="0"/>
            </w:pPr>
            <w:r>
              <w:rPr>
                <w:rFonts w:ascii="Courier New" w:cs="Courier New" w:eastAsia="Courier New" w:hAnsi="Courier New"/>
                <w:color w:val="1A3A5C"/>
                <w:sz w:val="18"/>
                <w:szCs w:val="18"/>
              </w:rPr>
              <w:t xml:space="preserve">                       │  ├── XGBoost Classifier          │</w:t>
            </w:r>
          </w:p>
          <w:p>
            <w:pPr>
              <w:spacing w:before="0" w:after="0"/>
            </w:pPr>
            <w:r>
              <w:rPr>
                <w:rFonts w:ascii="Courier New" w:cs="Courier New" w:eastAsia="Courier New" w:hAnsi="Courier New"/>
                <w:color w:val="1A3A5C"/>
                <w:sz w:val="18"/>
                <w:szCs w:val="18"/>
              </w:rPr>
              <w:t xml:space="preserve">                       │  ├── Isolation Forest            │</w:t>
            </w:r>
          </w:p>
          <w:p>
            <w:pPr>
              <w:spacing w:before="0" w:after="0"/>
            </w:pPr>
            <w:r>
              <w:rPr>
                <w:rFonts w:ascii="Courier New" w:cs="Courier New" w:eastAsia="Courier New" w:hAnsi="Courier New"/>
                <w:color w:val="1A3A5C"/>
                <w:sz w:val="18"/>
                <w:szCs w:val="18"/>
              </w:rPr>
              <w:t xml:space="preserve">                       │  ├── SHAP Explainability         │</w:t>
            </w:r>
          </w:p>
          <w:p>
            <w:pPr>
              <w:spacing w:before="0" w:after="0"/>
            </w:pPr>
            <w:r>
              <w:rPr>
                <w:rFonts w:ascii="Courier New" w:cs="Courier New" w:eastAsia="Courier New" w:hAnsi="Courier New"/>
                <w:color w:val="1A3A5C"/>
                <w:sz w:val="18"/>
                <w:szCs w:val="18"/>
              </w:rPr>
              <w:t xml:space="preserve">                       │  └── Risk Fusion Layer           │</w:t>
            </w:r>
          </w:p>
          <w:p>
            <w:pPr>
              <w:spacing w:before="0" w:after="0"/>
            </w:pPr>
            <w:r>
              <w:rPr>
                <w:rFonts w:ascii="Courier New" w:cs="Courier New" w:eastAsia="Courier New" w:hAnsi="Courier New"/>
                <w:color w:val="1A3A5C"/>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09</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Arbiter Report Structure</w:t>
            </w:r>
          </w:p>
        </w:tc>
      </w:tr>
    </w:tbl>
    <w:p>
      <w:pPr>
        <w:spacing w:before="0" w:after="120"/>
      </w:pPr>
      <w:r>
        <w:t xml:space="preserve"/>
      </w:r>
    </w:p>
    <w:p>
      <w:pPr>
        <w:spacing w:before="80" w:after="140"/>
      </w:pPr>
      <w:r>
        <w:rPr>
          <w:rFonts w:ascii="Arial" w:cs="Arial" w:eastAsia="Arial" w:hAnsi="Arial"/>
          <w:color w:val="2C3E50"/>
          <w:sz w:val="22"/>
          <w:szCs w:val="22"/>
        </w:rPr>
        <w:t xml:space="preserve">Every assessment produces a downloadable PDF report. The structure is fixed and cannot be customised — this ensures consistency and prevents selective presentation of evidence.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Header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Tournament name, player full name and FIDE ID, date, round, game reference number, Hamduk Labs report ID, model version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Risk Classification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Tier in large bold type (never just a number). Colour coded: Green=Low, Amber=Moderate, Orange=Elevated, Red=High Statistical Anomaly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Confidence Score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Calibrated probability with confidence interval. E.g.: 0.74 (95% CI: 0.68 – 0.80)</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Analysis Window Summary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Total moves vs analysed moves. Breakdown of excluded positions (book, tablebase, forced) with counts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Triggered Signal Summary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Plain-English explanation of each triggered signal. What was measured, what was expected, what was observed, probability of natural occurrence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SHAP Waterfall Chart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Visual showing which features drove the score up or down and by how much</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Move Quality Graph</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Centipawn loss per move across the game, coloured by analysis window inclusion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Time Usage Chart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Time per move overlaid with complexity score. Visual of time-complexity correlation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Historical Comparison Table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Current game stats vs player's historical baseline: ACL, IPR, engine match %, performance rating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Mandatory Legal Disclaimer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"This report contains statistical analysis produced by Hamduk Labs v[X.X]. It does not constitute evidence of cheating or proof of any violation. All findings are probabilistic in nature. No disciplinary action may be taken based solely on this report. All findings require independent investigation and human adjudication by qualified arbiters in accordance with the applicable federation's fair play regulations."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Audit Information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 ID, generation timestamp, analyst user ID, model version, input PGN hash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10</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Security, Legal Compliance &amp; Governance</w:t>
            </w:r>
          </w:p>
        </w:tc>
      </w:tr>
    </w:tbl>
    <w:p>
      <w:pPr>
        <w:spacing w:before="0" w:after="120"/>
      </w:pPr>
      <w:r>
        <w:t xml:space="preserve"/>
      </w:r>
    </w:p>
    <w:p>
      <w:pPr>
        <w:pStyle w:val="Heading2"/>
        <w:spacing w:before="400" w:after="160"/>
      </w:pPr>
      <w:r>
        <w:rPr>
          <w:rFonts w:ascii="Arial" w:cs="Arial" w:eastAsia="Arial" w:hAnsi="Arial"/>
          <w:b/>
          <w:bCs/>
          <w:color w:val="1A3A5C"/>
          <w:sz w:val="32"/>
          <w:szCs w:val="32"/>
        </w:rPr>
        <w:t xml:space="preserve">10.1  Data Security</w:t>
      </w:r>
    </w:p>
    <w:p>
      <w:pPr>
        <w:pStyle w:val="ListParagraph"/>
        <w:numPr>
          <w:ilvl w:val="0"/>
          <w:numId w:val="2"/>
        </w:numPr>
        <w:spacing w:before="60" w:after="60"/>
      </w:pPr>
      <w:r>
        <w:rPr>
          <w:rFonts w:ascii="Arial" w:cs="Arial" w:eastAsia="Arial" w:hAnsi="Arial"/>
          <w:color w:val="2C3E50"/>
          <w:sz w:val="22"/>
          <w:szCs w:val="22"/>
        </w:rPr>
        <w:t xml:space="preserve">All data encrypted at rest (Supabase default AES-256) and in transit (TLS 1.3)</w:t>
      </w:r>
    </w:p>
    <w:p>
      <w:pPr>
        <w:pStyle w:val="ListParagraph"/>
        <w:numPr>
          <w:ilvl w:val="0"/>
          <w:numId w:val="2"/>
        </w:numPr>
        <w:spacing w:before="60" w:after="60"/>
      </w:pPr>
      <w:r>
        <w:rPr>
          <w:rFonts w:ascii="Arial" w:cs="Arial" w:eastAsia="Arial" w:hAnsi="Arial"/>
          <w:color w:val="2C3E50"/>
          <w:sz w:val="22"/>
          <w:szCs w:val="22"/>
        </w:rPr>
        <w:t xml:space="preserve">PGN files stored with content-addressable hashing — tamper detection built in</w:t>
      </w:r>
    </w:p>
    <w:p>
      <w:pPr>
        <w:pStyle w:val="ListParagraph"/>
        <w:numPr>
          <w:ilvl w:val="0"/>
          <w:numId w:val="2"/>
        </w:numPr>
        <w:spacing w:before="60" w:after="60"/>
      </w:pPr>
      <w:r>
        <w:rPr>
          <w:rFonts w:ascii="Arial" w:cs="Arial" w:eastAsia="Arial" w:hAnsi="Arial"/>
          <w:color w:val="2C3E50"/>
          <w:sz w:val="22"/>
          <w:szCs w:val="22"/>
        </w:rPr>
        <w:t xml:space="preserve">Role-Based Access Control: Arbiter → assigned tournaments only; Chief Arbiter → full federation; Admin → all</w:t>
      </w:r>
    </w:p>
    <w:p>
      <w:pPr>
        <w:pStyle w:val="ListParagraph"/>
        <w:numPr>
          <w:ilvl w:val="0"/>
          <w:numId w:val="2"/>
        </w:numPr>
        <w:spacing w:before="60" w:after="60"/>
      </w:pPr>
      <w:r>
        <w:rPr>
          <w:rFonts w:ascii="Arial" w:cs="Arial" w:eastAsia="Arial" w:hAnsi="Arial"/>
          <w:color w:val="2C3E50"/>
          <w:sz w:val="22"/>
          <w:szCs w:val="22"/>
        </w:rPr>
        <w:t xml:space="preserve">API rate limiting enforced at Redis layer per API key</w:t>
      </w:r>
    </w:p>
    <w:p>
      <w:pPr>
        <w:pStyle w:val="ListParagraph"/>
        <w:numPr>
          <w:ilvl w:val="0"/>
          <w:numId w:val="2"/>
        </w:numPr>
        <w:spacing w:before="60" w:after="60"/>
      </w:pPr>
      <w:r>
        <w:rPr>
          <w:rFonts w:ascii="Arial" w:cs="Arial" w:eastAsia="Arial" w:hAnsi="Arial"/>
          <w:color w:val="2C3E50"/>
          <w:sz w:val="22"/>
          <w:szCs w:val="22"/>
        </w:rPr>
        <w:t xml:space="preserve">All external inputs (PGN files) sanitised before processing</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10.2  Legal Safeguards</w:t>
      </w:r>
    </w:p>
    <w:p>
      <w:pPr>
        <w:pStyle w:val="ListParagraph"/>
        <w:numPr>
          <w:ilvl w:val="0"/>
          <w:numId w:val="2"/>
        </w:numPr>
        <w:spacing w:before="60" w:after="60"/>
      </w:pPr>
      <w:r>
        <w:rPr>
          <w:rFonts w:ascii="Arial" w:cs="Arial" w:eastAsia="Arial" w:hAnsi="Arial"/>
          <w:color w:val="2C3E50"/>
          <w:sz w:val="22"/>
          <w:szCs w:val="22"/>
        </w:rPr>
        <w:t xml:space="preserve">System never produces verdicts — only risk tiers and statistical summaries</w:t>
      </w:r>
    </w:p>
    <w:p>
      <w:pPr>
        <w:pStyle w:val="ListParagraph"/>
        <w:numPr>
          <w:ilvl w:val="0"/>
          <w:numId w:val="2"/>
        </w:numPr>
        <w:spacing w:before="60" w:after="60"/>
      </w:pPr>
      <w:r>
        <w:rPr>
          <w:rFonts w:ascii="Arial" w:cs="Arial" w:eastAsia="Arial" w:hAnsi="Arial"/>
          <w:color w:val="2C3E50"/>
          <w:sz w:val="22"/>
          <w:szCs w:val="22"/>
        </w:rPr>
        <w:t xml:space="preserve">Every report includes mandatory disclaimer (see Section 9)</w:t>
      </w:r>
    </w:p>
    <w:p>
      <w:pPr>
        <w:pStyle w:val="ListParagraph"/>
        <w:numPr>
          <w:ilvl w:val="0"/>
          <w:numId w:val="2"/>
        </w:numPr>
        <w:spacing w:before="60" w:after="60"/>
      </w:pPr>
      <w:r>
        <w:rPr>
          <w:rFonts w:ascii="Arial" w:cs="Arial" w:eastAsia="Arial" w:hAnsi="Arial"/>
          <w:color w:val="2C3E50"/>
          <w:sz w:val="22"/>
          <w:szCs w:val="22"/>
        </w:rPr>
        <w:t xml:space="preserve">Immutable audit log prevents retroactive alteration of any assessment</w:t>
      </w:r>
    </w:p>
    <w:p>
      <w:pPr>
        <w:pStyle w:val="ListParagraph"/>
        <w:numPr>
          <w:ilvl w:val="0"/>
          <w:numId w:val="2"/>
        </w:numPr>
        <w:spacing w:before="60" w:after="60"/>
      </w:pPr>
      <w:r>
        <w:rPr>
          <w:rFonts w:ascii="Arial" w:cs="Arial" w:eastAsia="Arial" w:hAnsi="Arial"/>
          <w:color w:val="2C3E50"/>
          <w:sz w:val="22"/>
          <w:szCs w:val="22"/>
        </w:rPr>
        <w:t xml:space="preserve">Model versioning ensures all historical assessments are reproducible</w:t>
      </w:r>
    </w:p>
    <w:p>
      <w:pPr>
        <w:pStyle w:val="ListParagraph"/>
        <w:numPr>
          <w:ilvl w:val="0"/>
          <w:numId w:val="2"/>
        </w:numPr>
        <w:spacing w:before="60" w:after="60"/>
      </w:pPr>
      <w:r>
        <w:rPr>
          <w:rFonts w:ascii="Arial" w:cs="Arial" w:eastAsia="Arial" w:hAnsi="Arial"/>
          <w:color w:val="2C3E50"/>
          <w:sz w:val="22"/>
          <w:szCs w:val="22"/>
        </w:rPr>
        <w:t xml:space="preserve">Report locking ensures issued reports cannot be silently edited</w:t>
      </w:r>
    </w:p>
    <w:p>
      <w:pPr>
        <w:pStyle w:val="ListParagraph"/>
        <w:numPr>
          <w:ilvl w:val="0"/>
          <w:numId w:val="2"/>
        </w:numPr>
        <w:spacing w:before="60" w:after="60"/>
      </w:pPr>
      <w:r>
        <w:rPr>
          <w:rFonts w:ascii="Arial" w:cs="Arial" w:eastAsia="Arial" w:hAnsi="Arial"/>
          <w:color w:val="2C3E50"/>
          <w:sz w:val="22"/>
          <w:szCs w:val="22"/>
        </w:rPr>
        <w:t xml:space="preserve">Confidence intervals mandatory — no point estimates without uncertainty bounds</w:t>
      </w:r>
    </w:p>
    <w:p>
      <w:pPr>
        <w:pStyle w:val="ListParagraph"/>
        <w:numPr>
          <w:ilvl w:val="0"/>
          <w:numId w:val="2"/>
        </w:numPr>
        <w:spacing w:before="60" w:after="60"/>
      </w:pPr>
      <w:r>
        <w:rPr>
          <w:rFonts w:ascii="Arial" w:cs="Arial" w:eastAsia="Arial" w:hAnsi="Arial"/>
          <w:color w:val="2C3E50"/>
          <w:sz w:val="22"/>
          <w:szCs w:val="22"/>
        </w:rPr>
        <w:t xml:space="preserve">Human review gate: High Statistical Anomaly tier cannot be forwarded to a player without arbiter sign-off</w:t>
      </w:r>
    </w:p>
    <w:p>
      <w:pPr>
        <w:spacing w:before="0" w:after="120"/>
      </w:pPr>
      <w:r>
        <w:t xml:space="preserve"/>
      </w:r>
    </w:p>
    <w:p>
      <w:pPr>
        <w:pStyle w:val="Heading2"/>
        <w:spacing w:before="400" w:after="160"/>
      </w:pPr>
      <w:r>
        <w:rPr>
          <w:rFonts w:ascii="Arial" w:cs="Arial" w:eastAsia="Arial" w:hAnsi="Arial"/>
          <w:b/>
          <w:bCs/>
          <w:color w:val="1A3A5C"/>
          <w:sz w:val="32"/>
          <w:szCs w:val="32"/>
        </w:rPr>
        <w:t xml:space="preserve">10.3  Calibration &amp; Validation Requirements (Pre-Launch)</w:t>
      </w:r>
    </w:p>
    <w:p>
      <w:pPr>
        <w:spacing w:before="80" w:after="140"/>
      </w:pPr>
      <w:r>
        <w:rPr>
          <w:rFonts w:ascii="Arial" w:cs="Arial" w:eastAsia="Arial" w:hAnsi="Arial"/>
          <w:color w:val="2C3E50"/>
          <w:sz w:val="22"/>
          <w:szCs w:val="22"/>
        </w:rPr>
        <w:t xml:space="preserve">Before any live deployment, the model must be validated against known data:</w:t>
      </w:r>
    </w:p>
    <w:p>
      <w:pPr>
        <w:pStyle w:val="ListParagraph"/>
        <w:numPr>
          <w:ilvl w:val="0"/>
          <w:numId w:val="3"/>
        </w:numPr>
        <w:spacing w:before="60" w:after="60"/>
      </w:pPr>
      <w:r>
        <w:rPr>
          <w:rFonts w:ascii="Arial" w:cs="Arial" w:eastAsia="Arial" w:hAnsi="Arial"/>
          <w:color w:val="2C3E50"/>
          <w:sz w:val="22"/>
          <w:szCs w:val="22"/>
        </w:rPr>
        <w:t xml:space="preserve">Run model against Lichess publicly flagged accounts — measure true positive rate</w:t>
      </w:r>
    </w:p>
    <w:p>
      <w:pPr>
        <w:pStyle w:val="ListParagraph"/>
        <w:numPr>
          <w:ilvl w:val="0"/>
          <w:numId w:val="3"/>
        </w:numPr>
        <w:spacing w:before="60" w:after="60"/>
      </w:pPr>
      <w:r>
        <w:rPr>
          <w:rFonts w:ascii="Arial" w:cs="Arial" w:eastAsia="Arial" w:hAnsi="Arial"/>
          <w:color w:val="2C3E50"/>
          <w:sz w:val="22"/>
          <w:szCs w:val="22"/>
        </w:rPr>
        <w:t xml:space="preserve">Run model against verified clean GM games (Magnus Carlsen, Fabiano Caruana public games) — confirm false positive rate &lt; 1%</w:t>
      </w:r>
    </w:p>
    <w:p>
      <w:pPr>
        <w:pStyle w:val="ListParagraph"/>
        <w:numPr>
          <w:ilvl w:val="0"/>
          <w:numId w:val="3"/>
        </w:numPr>
        <w:spacing w:before="60" w:after="60"/>
      </w:pPr>
      <w:r>
        <w:rPr>
          <w:rFonts w:ascii="Arial" w:cs="Arial" w:eastAsia="Arial" w:hAnsi="Arial"/>
          <w:color w:val="2C3E50"/>
          <w:sz w:val="22"/>
          <w:szCs w:val="22"/>
        </w:rPr>
        <w:t xml:space="preserve">Run model against historical documented cheating cases where available</w:t>
      </w:r>
    </w:p>
    <w:p>
      <w:pPr>
        <w:pStyle w:val="ListParagraph"/>
        <w:numPr>
          <w:ilvl w:val="0"/>
          <w:numId w:val="3"/>
        </w:numPr>
        <w:spacing w:before="60" w:after="60"/>
      </w:pPr>
      <w:r>
        <w:rPr>
          <w:rFonts w:ascii="Arial" w:cs="Arial" w:eastAsia="Arial" w:hAnsi="Arial"/>
          <w:color w:val="2C3E50"/>
          <w:sz w:val="22"/>
          <w:szCs w:val="22"/>
        </w:rPr>
        <w:t xml:space="preserve">Compute and document: Precision, Recall, F1, AUC-ROC, False Positive Rate, False Negative Rate</w:t>
      </w:r>
    </w:p>
    <w:p>
      <w:pPr>
        <w:pStyle w:val="ListParagraph"/>
        <w:numPr>
          <w:ilvl w:val="0"/>
          <w:numId w:val="3"/>
        </w:numPr>
        <w:spacing w:before="60" w:after="60"/>
      </w:pPr>
      <w:r>
        <w:rPr>
          <w:rFonts w:ascii="Arial" w:cs="Arial" w:eastAsia="Arial" w:hAnsi="Arial"/>
          <w:color w:val="2C3E50"/>
          <w:sz w:val="22"/>
          <w:szCs w:val="22"/>
        </w:rPr>
        <w:t xml:space="preserve">Record calibration results in a methodology document — this is your institutional credibility</w:t>
      </w:r>
    </w:p>
    <w:p>
      <w:pPr>
        <w:pStyle w:val="ListParagraph"/>
        <w:numPr>
          <w:ilvl w:val="0"/>
          <w:numId w:val="3"/>
        </w:numPr>
        <w:spacing w:before="60" w:after="60"/>
      </w:pPr>
      <w:r>
        <w:rPr>
          <w:rFonts w:ascii="Arial" w:cs="Arial" w:eastAsia="Arial" w:hAnsi="Arial"/>
          <w:color w:val="2C3E50"/>
          <w:sz w:val="22"/>
          <w:szCs w:val="22"/>
        </w:rPr>
        <w:t xml:space="preserve">Set final decision threshold based on calibration to achieve target FPR &lt; 1%</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D0DCF0" w:sz="1"/>
              <w:right w:val="single" w:color="D0DCF0" w:sz="1"/>
            </w:tcBorders>
            <w:shd w:fill="FDECEA" w:val="clear"/>
            <w:tcMar>
              <w:top w:type="dxa" w:w="160"/>
              <w:left w:type="dxa" w:w="280"/>
              <w:bottom w:type="dxa" w:w="160"/>
              <w:right w:type="dxa" w:w="280"/>
            </w:tcMar>
          </w:tcPr>
          <w:p>
            <w:r>
              <w:rPr>
                <w:rFonts w:ascii="Arial" w:cs="Arial" w:eastAsia="Arial" w:hAnsi="Arial"/>
                <w:b/>
                <w:bCs/>
                <w:color w:val="C0392B"/>
                <w:sz w:val="22"/>
                <w:szCs w:val="22"/>
              </w:rPr>
              <w:t xml:space="preserve">⚠ CRITICAL: </w:t>
            </w:r>
            <w:r>
              <w:rPr>
                <w:rFonts w:ascii="Arial" w:cs="Arial" w:eastAsia="Arial" w:hAnsi="Arial"/>
                <w:color w:val="2C3E50"/>
                <w:sz w:val="22"/>
                <w:szCs w:val="22"/>
              </w:rPr>
              <w:t xml:space="preserve">Deploying the system without completing calibration steps above is not acceptable for any FIDE-adjacent use. The methodology document produced during calibration is as important as the code. It is the foundation of legal defensibility.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E6FDB"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A</w:t>
            </w:r>
          </w:p>
        </w:tc>
        <w:tc>
          <w:tcPr>
            <w:tcBorders>
              <w:top w:val="none" w:color="FFFFFF" w:sz="0"/>
              <w:left w:val="none" w:color="FFFFFF" w:sz="0"/>
              <w:bottom w:val="none" w:color="FFFFFF" w:sz="0"/>
              <w:right w:val="none" w:color="FFFFFF" w:sz="0"/>
            </w:tcBorders>
            <w:shd w:fill="0A1628" w:val="clear"/>
            <w:tcMar>
              <w:top w:type="dxa" w:w="160"/>
              <w:left w:type="dxa" w:w="280"/>
              <w:bottom w:type="dxa" w:w="160"/>
              <w:right w:type="dxa" w:w="280"/>
            </w:tcMar>
          </w:tcPr>
          <w:p>
            <w:r>
              <w:rPr>
                <w:rFonts w:ascii="Arial" w:cs="Arial" w:eastAsia="Arial" w:hAnsi="Arial"/>
                <w:b/>
                <w:bCs/>
                <w:color w:val="FFFFFF"/>
                <w:sz w:val="26"/>
                <w:szCs w:val="26"/>
              </w:rPr>
              <w:t xml:space="preserve">Appendix — What This System Explicitly Does Not Do</w:t>
            </w:r>
          </w:p>
        </w:tc>
      </w:tr>
    </w:tbl>
    <w:p>
      <w:pPr>
        <w:spacing w:before="0" w:after="120"/>
      </w:pPr>
      <w:r>
        <w:t xml:space="preserve"/>
      </w:r>
    </w:p>
    <w:p>
      <w:pPr>
        <w:spacing w:before="80" w:after="140"/>
      </w:pPr>
      <w:r>
        <w:rPr>
          <w:rFonts w:ascii="Arial" w:cs="Arial" w:eastAsia="Arial" w:hAnsi="Arial"/>
          <w:color w:val="2C3E50"/>
          <w:sz w:val="22"/>
          <w:szCs w:val="22"/>
        </w:rPr>
        <w:t xml:space="preserve">The following is a definitive list of what Hamduk Labs does not do, each with the reason. These constraints are non-negotiable.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We Do NOT</w:t>
            </w:r>
          </w:p>
        </w:tc>
        <w:tc>
          <w:tcPr>
            <w:tcW w:type="dxa" w:w="62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Measure engine agreement in opening positions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Every player — 1200 to 2700 — plays known theory. This produces meaningless engine match figures and inflates scores for all players equally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Measure engine agreement in tablebase endgames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Positions with ≤7 pieces have objectively forced or near-forced solutions. Any player can find them</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Count forced moves in engine agreement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If there is only one good move, everyone plays it. Agreement means nothing</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Output a verdict of 'Cheating Detected'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The system detects statistical anomalies. Proving cheating requires human investigation. Outputting verdicts creates legal liability</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 a fixed move-number opening cutoff</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Opening preparation varies by player and line. Novelty detection via polyglot book is the only accurate method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Rely on a single signal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Any single metric — even IPR — can produce false positives for legitimate extraordinary performances</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Provide a point estimate without a confidence interval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Sample size (analyzed_move_count) directly affects reliability. Uncertainty must always be communicated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Allow reports to be edited after issuance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 immutability is a legal protection for both the platform and the accused player</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Apply the same thresholds to all rating bands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 2700 GM playing at 2700 is not suspicious. An 1800 player performing at 2400 is. All thresholds are rating-normalised</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Allow High risk tier to reach arbiters without human review gate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The most serious classification requires a human check before any action — this is a hard system requirement</w:t>
            </w:r>
          </w:p>
        </w:tc>
      </w:tr>
    </w:tbl>
    <w:p>
      <w:pPr>
        <w:spacing w:before="0" w:after="240"/>
      </w:pPr>
      <w:r>
        <w:t xml:space="preserve"/>
      </w:r>
    </w:p>
    <w:p>
      <w:pPr>
        <w:pBdr>
          <w:bottom w:val="single" w:color="D0DCF0" w:sz="2"/>
        </w:pBdr>
        <w:spacing w:before="200" w:after="200"/>
      </w:pPr>
    </w:p>
    <w:p>
      <w:pPr>
        <w:spacing w:before="0" w:after="120"/>
      </w:pPr>
      <w:r>
        <w:t xml:space="preserve"/>
      </w:r>
    </w:p>
    <w:p>
      <w:pPr>
        <w:spacing w:before="0" w:after="80"/>
        <w:jc w:val="center"/>
      </w:pPr>
      <w:r>
        <w:rPr>
          <w:rFonts w:ascii="Arial" w:cs="Arial" w:eastAsia="Arial" w:hAnsi="Arial"/>
          <w:b/>
          <w:bCs/>
          <w:color w:val="0A1628"/>
          <w:sz w:val="24"/>
          <w:szCs w:val="24"/>
        </w:rPr>
        <w:t xml:space="preserve">HAMDUK LABS</w:t>
      </w:r>
    </w:p>
    <w:p>
      <w:pPr>
        <w:spacing w:before="0" w:after="80"/>
        <w:jc w:val="center"/>
      </w:pPr>
      <w:r>
        <w:rPr>
          <w:rFonts w:ascii="Arial" w:cs="Arial" w:eastAsia="Arial" w:hAnsi="Arial"/>
          <w:color w:val="8A9BB0"/>
          <w:sz w:val="20"/>
          <w:szCs w:val="20"/>
        </w:rPr>
        <w:t xml:space="preserve">Chess Integrity Platform — Technical Specification v1.0</w:t>
      </w:r>
    </w:p>
    <w:p>
      <w:pPr>
        <w:spacing w:before="0" w:after="0"/>
        <w:jc w:val="center"/>
      </w:pPr>
      <w:r>
        <w:rPr>
          <w:rFonts w:ascii="Arial" w:cs="Arial" w:eastAsia="Arial" w:hAnsi="Arial"/>
          <w:color w:val="8A9BB0"/>
          <w:sz w:val="18"/>
          <w:szCs w:val="18"/>
        </w:rPr>
        <w:t xml:space="preserve">Confidential. © 2025 Hamduk Labs.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D0DCF0" w:sz="1"/>
            <w:left w:val="none" w:color="FFFFFF" w:sz="0"/>
            <w:bottom w:val="none" w:color="FFFFFF" w:sz="0"/>
            <w:right w:val="none" w:color="FFFFFF" w:sz="0"/>
          </w:tcBorders>
        </w:tcPr>
        <w:p>
          <w:r>
            <w:rPr>
              <w:rFonts w:ascii="Arial" w:cs="Arial" w:eastAsia="Arial" w:hAnsi="Arial"/>
              <w:color w:val="8A9BB0"/>
              <w:sz w:val="16"/>
              <w:szCs w:val="16"/>
            </w:rPr>
            <w:t xml:space="preserve">© 2025 Hamduk Labs. All rights reserved. For internal use only.</w:t>
          </w:r>
        </w:p>
      </w:tc>
      <w:tc>
        <w:tcPr>
          <w:tcBorders>
            <w:top w:val="single" w:color="D0DCF0" w:sz="1"/>
            <w:left w:val="none" w:color="FFFFFF" w:sz="0"/>
            <w:bottom w:val="none" w:color="FFFFFF" w:sz="0"/>
            <w:right w:val="none" w:color="FFFFFF" w:sz="0"/>
          </w:tcBorders>
        </w:tcPr>
        <w:p>
          <w:pPr>
            <w:jc w:val="right"/>
          </w:pPr>
          <w:r>
            <w:rPr>
              <w:rFonts w:ascii="Arial" w:cs="Arial" w:eastAsia="Arial" w:hAnsi="Arial"/>
              <w:color w:val="8A9BB0"/>
              <w:sz w:val="16"/>
              <w:szCs w:val="16"/>
            </w:rPr>
            <w:t xml:space="preserve">Page </w:t>
          </w:r>
          <w:r>
            <w:rPr>
              <w:rFonts w:ascii="Arial" w:cs="Arial" w:eastAsia="Arial" w:hAnsi="Arial"/>
              <w:color w:val="8A9BB0"/>
              <w:sz w:val="16"/>
              <w:szCs w:val="16"/>
            </w:rPr>
            <w:fldSimple w:instr="PAG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single" w:color="1E6FDB" w:sz="2"/>
            <w:right w:val="none" w:color="FFFFFF" w:sz="0"/>
          </w:tcBorders>
        </w:tcPr>
        <w:p>
          <w:r>
            <w:rPr>
              <w:rFonts w:ascii="Arial" w:cs="Arial" w:eastAsia="Arial" w:hAnsi="Arial"/>
              <w:b/>
              <w:bCs/>
              <w:color w:val="1A3A5C"/>
              <w:sz w:val="18"/>
              <w:szCs w:val="18"/>
            </w:rPr>
            <w:t xml:space="preserve">HAMDUK LABS — CHESS INTEGRITY PLATFORM</w:t>
          </w:r>
        </w:p>
      </w:tc>
      <w:tc>
        <w:tcPr>
          <w:tcBorders>
            <w:top w:val="none" w:color="FFFFFF" w:sz="0"/>
            <w:left w:val="none" w:color="FFFFFF" w:sz="0"/>
            <w:bottom w:val="single" w:color="1E6FDB" w:sz="2"/>
            <w:right w:val="none" w:color="FFFFFF" w:sz="0"/>
          </w:tcBorders>
        </w:tcPr>
        <w:p>
          <w:pPr>
            <w:jc w:val="right"/>
          </w:pPr>
          <w:r>
            <w:rPr>
              <w:rFonts w:ascii="Arial" w:cs="Arial" w:eastAsia="Arial" w:hAnsi="Arial"/>
              <w:color w:val="8A9BB0"/>
              <w:sz w:val="16"/>
              <w:szCs w:val="16"/>
            </w:rPr>
            <w:t xml:space="preserve">CONFIDENTIAL — TECHNICAL SPECIFICATION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1628"/>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1A3A5C"/>
      <w:sz w:val="32"/>
      <w:szCs w:val="32"/>
    </w:rPr>
  </w:style>
  <w:style w:type="paragraph" w:styleId="Heading3">
    <w:name w:val="Heading 3"/>
    <w:basedOn w:val="Normal"/>
    <w:next w:val="Normal"/>
    <w:qFormat/>
    <w:pPr>
      <w:spacing w:before="260" w:after="120"/>
      <w:outlineLvl w:val="2"/>
    </w:pPr>
    <w:rPr>
      <w:rFonts w:ascii="Arial" w:cs="Arial" w:eastAsia="Arial" w:hAnsi="Arial"/>
      <w:b/>
      <w:bCs/>
      <w:color w:val="1E6FDB"/>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2026-03-01T07:22:59.800Z</dcterms:created>
  <dcterms:modified xsi:type="dcterms:W3CDTF">2026-03-01T07:22:59.801Z</dcterms:modified>
</cp:coreProperties>
</file>

<file path=docProps/custom.xml><?xml version="1.0" encoding="utf-8"?>
<Properties xmlns="http://schemas.openxmlformats.org/officeDocument/2006/custom-properties" xmlns:vt="http://schemas.openxmlformats.org/officeDocument/2006/docPropsVTypes"/>
</file>