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7CA" w:rsidRDefault="009D3CE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8F07CA" w:rsidRDefault="009D3CE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8F07CA" w:rsidRDefault="008F07CA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4509"/>
        <w:gridCol w:w="4507"/>
      </w:tblGrid>
      <w:tr w:rsidR="008F07C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7CA" w:rsidRDefault="009D3CE6">
            <w: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7CA" w:rsidRDefault="009D3CE6">
            <w:r>
              <w:t>27 June 2025</w:t>
            </w:r>
          </w:p>
        </w:tc>
      </w:tr>
      <w:tr w:rsidR="008F07C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7CA" w:rsidRDefault="009D3CE6">
            <w:r>
              <w:t>LTVIP2025TMID59793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07CA" w:rsidRDefault="009D3CE6">
            <w:r>
              <w:t>LTVIP2025TMID41423</w:t>
            </w:r>
          </w:p>
        </w:tc>
      </w:tr>
      <w:tr w:rsidR="008F07C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7CA" w:rsidRDefault="009D3CE6">
            <w: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7CA" w:rsidRDefault="009D3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 Sense: Classifying Fabric Patterns using Deep Learning</w:t>
            </w:r>
          </w:p>
          <w:p w:rsidR="008F07CA" w:rsidRDefault="008F07CA"/>
        </w:tc>
      </w:tr>
      <w:tr w:rsidR="008F07C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7CA" w:rsidRDefault="009D3CE6"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07CA" w:rsidRDefault="009D3CE6">
            <w:r>
              <w:t>4 Marks</w:t>
            </w:r>
          </w:p>
        </w:tc>
      </w:tr>
    </w:tbl>
    <w:p w:rsidR="009D3CE6" w:rsidRDefault="009D3CE6" w:rsidP="009D3CE6">
      <w:pPr>
        <w:pStyle w:val="NormalWeb"/>
      </w:pPr>
      <w:r>
        <w:rPr>
          <w:b/>
        </w:rPr>
        <w:t>Empathy Map Canvas:</w:t>
      </w:r>
      <w:r w:rsidRPr="009D3CE6">
        <w:t xml:space="preserve"> </w:t>
      </w:r>
      <w:r>
        <w:t>An empathy map is a simple, visual tool that helps us understand the thoughts, feelings, behaviors, and needs of textile manufacturers, designers, and quality assurance professionals responsible for identifying and managing fabric patterns.</w:t>
      </w:r>
    </w:p>
    <w:p w:rsidR="009D3CE6" w:rsidRDefault="009D3CE6" w:rsidP="009D3CE6">
      <w:pPr>
        <w:pStyle w:val="NormalWeb"/>
      </w:pPr>
      <w:r>
        <w:t>For our m</w:t>
      </w:r>
      <w:r>
        <w:t>a</w:t>
      </w:r>
      <w:r>
        <w:t>chine learning–based fabric pattern classification system, this map helps us build deep emp</w:t>
      </w:r>
      <w:r>
        <w:t>a</w:t>
      </w:r>
      <w:r>
        <w:t>thy with users—factory operators, design teams, and quality control managers—so we can design a tool that is not only accurate, but also trustworthy, accessible, and meanin</w:t>
      </w:r>
      <w:r>
        <w:t>g</w:t>
      </w:r>
      <w:r>
        <w:t>ful in real production environments.</w:t>
      </w:r>
    </w:p>
    <w:p w:rsidR="009D3CE6" w:rsidRDefault="009D3CE6" w:rsidP="009D3CE6">
      <w:pPr>
        <w:pStyle w:val="NormalWeb"/>
      </w:pPr>
      <w:r>
        <w:t>By exploring their frustrations, motivations, challenges, and interactions with current manual or semi-automated classification processes, we ensure that our solution addresses real-world problems and supports efficient production workflows, consistent quality, and better oper</w:t>
      </w:r>
      <w:r>
        <w:t>a</w:t>
      </w:r>
      <w:r>
        <w:t>tional outcomes</w:t>
      </w:r>
      <w:bookmarkStart w:id="0" w:name="_GoBack"/>
      <w:bookmarkEnd w:id="0"/>
    </w:p>
    <w:p w:rsidR="009D3CE6" w:rsidRPr="009D3CE6" w:rsidRDefault="009D3CE6" w:rsidP="009D3CE6">
      <w:pPr>
        <w:pStyle w:val="NormalWeb"/>
      </w:pPr>
      <w:r w:rsidRPr="009D3CE6">
        <w:rPr>
          <w:b/>
          <w:color w:val="2A2A2A"/>
          <w:sz w:val="28"/>
          <w:szCs w:val="28"/>
        </w:rPr>
        <w:t>Example:</w:t>
      </w:r>
      <w:r w:rsidRPr="009D3CE6">
        <w:rPr>
          <w:b/>
        </w:rPr>
        <w:t xml:space="preserve"> Pattern Sense: Classifying Fabric Patterns using Deep Lear</w:t>
      </w:r>
      <w:r w:rsidRPr="009D3CE6">
        <w:rPr>
          <w:b/>
        </w:rPr>
        <w:t>n</w:t>
      </w:r>
      <w:r w:rsidRPr="009D3CE6">
        <w:rPr>
          <w:b/>
        </w:rPr>
        <w:t>ing</w:t>
      </w:r>
    </w:p>
    <w:p w:rsidR="008F07CA" w:rsidRDefault="009D3CE6" w:rsidP="009D3CE6">
      <w:pPr>
        <w:pStyle w:val="NormalWeb"/>
      </w:pPr>
      <w:r>
        <w:rPr>
          <w:noProof/>
        </w:rPr>
        <w:drawing>
          <wp:inline distT="0" distB="0" distL="0" distR="0" wp14:anchorId="709498D0" wp14:editId="0FB768F0">
            <wp:extent cx="5731510" cy="3703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CA" w:rsidRDefault="008F07CA">
      <w:pPr>
        <w:rPr>
          <w:color w:val="0563C1"/>
          <w:u w:val="single"/>
        </w:rPr>
      </w:pPr>
    </w:p>
    <w:p w:rsidR="009D3CE6" w:rsidRDefault="009D3CE6" w:rsidP="009D3CE6">
      <w:pPr>
        <w:pStyle w:val="NormalWeb"/>
      </w:pPr>
      <w:r>
        <w:t>This empathy map captures the lived experiences, challenges, and aspirations of textile man</w:t>
      </w:r>
      <w:r>
        <w:t>u</w:t>
      </w:r>
      <w:r>
        <w:t>facturers, designers, and quality control teams who are responsible for classifying and mana</w:t>
      </w:r>
      <w:r>
        <w:t>g</w:t>
      </w:r>
      <w:r>
        <w:t>ing fabric patterns, as well as the expectations of clients and end customers. It is designed to inform the development of a machine learning–powered pattern recognition and classification tool.</w:t>
      </w:r>
    </w:p>
    <w:p w:rsidR="009D3CE6" w:rsidRDefault="009D3CE6" w:rsidP="009D3CE6">
      <w:pPr>
        <w:pStyle w:val="NormalWeb"/>
      </w:pPr>
      <w:r>
        <w:t>Through this map, we gain a deeper understanding of the practical and emotional pain points of stakeholders—such as concerns about misclassification, time-consuming manual proces</w:t>
      </w:r>
      <w:r>
        <w:t>s</w:t>
      </w:r>
      <w:r>
        <w:t>es, inconsistent labeling, and the impact of errors on production timelines—and their hopes for accurate, fast, and scalable solutions that integrate seamlessly into existing workflows.</w:t>
      </w:r>
    </w:p>
    <w:p w:rsidR="009D3CE6" w:rsidRDefault="009D3CE6" w:rsidP="009D3CE6">
      <w:pPr>
        <w:pStyle w:val="NormalWeb"/>
      </w:pPr>
      <w:r>
        <w:t>By documenting:</w:t>
      </w:r>
      <w:r>
        <w:br/>
        <w:t xml:space="preserve">• </w:t>
      </w:r>
      <w:r>
        <w:rPr>
          <w:rStyle w:val="Strong"/>
        </w:rPr>
        <w:t>What users think and feel</w:t>
      </w:r>
      <w:r>
        <w:t xml:space="preserve"> (“What if the system misclassifies a design and delays produ</w:t>
      </w:r>
      <w:r>
        <w:t>c</w:t>
      </w:r>
      <w:r>
        <w:t>tion?”),</w:t>
      </w:r>
      <w:r>
        <w:br/>
        <w:t xml:space="preserve">• </w:t>
      </w:r>
      <w:r>
        <w:rPr>
          <w:rStyle w:val="Strong"/>
        </w:rPr>
        <w:t>What they hear</w:t>
      </w:r>
      <w:r>
        <w:t xml:space="preserve"> (“This sample doesn’t match the approved pattern”),</w:t>
      </w:r>
      <w:r>
        <w:br/>
        <w:t xml:space="preserve">• </w:t>
      </w:r>
      <w:r>
        <w:rPr>
          <w:rStyle w:val="Strong"/>
        </w:rPr>
        <w:t>What they say and do</w:t>
      </w:r>
      <w:r>
        <w:t xml:space="preserve"> (“We spend hours cross-checking every batch manually”),</w:t>
      </w:r>
      <w:r>
        <w:br/>
        <w:t xml:space="preserve">• </w:t>
      </w:r>
      <w:r>
        <w:rPr>
          <w:rStyle w:val="Strong"/>
        </w:rPr>
        <w:t>What they need to do</w:t>
      </w:r>
      <w:r>
        <w:t xml:space="preserve"> (standardize processes, improve efficiency, reduce human error),</w:t>
      </w:r>
    </w:p>
    <w:p w:rsidR="009D3CE6" w:rsidRDefault="009D3CE6" w:rsidP="009D3CE6">
      <w:pPr>
        <w:pStyle w:val="NormalWeb"/>
      </w:pPr>
      <w:r>
        <w:t>...we’re able to design solutions that align with real-world needs and operational drivers.</w:t>
      </w:r>
    </w:p>
    <w:p w:rsidR="009D3CE6" w:rsidRDefault="009D3CE6" w:rsidP="009D3CE6">
      <w:pPr>
        <w:pStyle w:val="NormalWeb"/>
      </w:pPr>
      <w:r>
        <w:t>This exercise helps ensure that the deep learning model we build is not just technically acc</w:t>
      </w:r>
      <w:r>
        <w:t>u</w:t>
      </w:r>
      <w:r>
        <w:t>rate, but also user-centered, trustworthy, and practical—enabling manufacturers and desig</w:t>
      </w:r>
      <w:r>
        <w:t>n</w:t>
      </w:r>
      <w:r>
        <w:t>ers to classify patterns quickly, maintain quality standards, and meet production deadlines with confidence.</w:t>
      </w:r>
    </w:p>
    <w:p w:rsidR="009D3CE6" w:rsidRDefault="009D3CE6">
      <w:pPr>
        <w:rPr>
          <w:color w:val="0563C1"/>
          <w:u w:val="single"/>
        </w:rPr>
      </w:pPr>
    </w:p>
    <w:sectPr w:rsidR="009D3CE6">
      <w:pgSz w:w="11906" w:h="16838"/>
      <w:pgMar w:top="851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BM Plex Sans">
    <w:altName w:val="Times New Roman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7CA"/>
    <w:rsid w:val="008F07CA"/>
    <w:rsid w:val="009D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qFormat/>
    <w:rsid w:val="00B84A22"/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B2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3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3CE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3C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qFormat/>
    <w:rsid w:val="00B84A22"/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B2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3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3CE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3C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2025-06-28T06:23:00Z</dcterms:created>
  <dcterms:modified xsi:type="dcterms:W3CDTF">2025-06-28T06:23:00Z</dcterms:modified>
  <dc:language>en-IN</dc:language>
</cp:coreProperties>
</file>