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UK Wind Forecast Accuracy Dashboard</w:t>
      </w:r>
    </w:p>
    <w:p>
      <w:pPr>
        <w:jc w:val="center"/>
      </w:pPr>
      <w:r>
        <w:rPr>
          <w:i/>
          <w:sz w:val="32"/>
        </w:rPr>
        <w:t>Project Overview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UK Wind Forecast Accuracy Dashboard</w:t>
      </w:r>
    </w:p>
    <w:p/>
    <w:p>
      <w:r>
        <w:t>A full-stack web application for UK electricity procurement analysts to analyse the accuracy of national wind generation forecasts against actual generation data for January 2026.</w:t>
      </w:r>
    </w:p>
    <w:p/>
    <w:p>
      <w:pPr>
        <w:pStyle w:val="Heading2"/>
      </w:pPr>
      <w:r>
        <w:t>Problem</w:t>
      </w:r>
    </w:p>
    <w:p/>
    <w:p>
      <w:r>
        <w:t>UK electricity procurement analysts need to make day-ahead purchasing decisions based on wind generation forecasts. These forecasts are published by the Balancing Mechanism Reporting Service (BMRS) operated by Elexon. Understanding forecast accuracy — and specifically which forecast was available at the time of the purchasing decision — is critical for managing procurement costs.</w:t>
      </w:r>
    </w:p>
    <w:p/>
    <w:p>
      <w:r>
        <w:t>This dashboard answers two key questions:</w:t>
      </w:r>
    </w:p>
    <w:p>
      <w:pPr>
        <w:pStyle w:val="ListNumber"/>
      </w:pPr>
      <w:r>
        <w:t>**What wind forecast was available** when the day-ahead purchasing decision needed to be made?</w:t>
      </w:r>
    </w:p>
    <w:p>
      <w:pPr>
        <w:pStyle w:val="ListNumber"/>
      </w:pPr>
      <w:r>
        <w:t>**How accurate were those forecasts** compared with actual wind generation?</w:t>
      </w:r>
    </w:p>
    <w:p/>
    <w:p>
      <w:pPr>
        <w:pStyle w:val="Heading2"/>
      </w:pPr>
      <w:r>
        <w:t>Features</w:t>
      </w:r>
    </w:p>
    <w:p/>
    <w:p>
      <w:pPr>
        <w:pStyle w:val="ListBullet"/>
      </w:pPr>
      <w:r>
        <w:t>**Dashboard Overview** — KPI cards showing MAE, RMSE, Bias, MAPE, data completeness, and average generation</w:t>
      </w:r>
    </w:p>
    <w:p>
      <w:pPr>
        <w:pStyle w:val="ListBullet"/>
      </w:pPr>
      <w:r>
        <w:t>**Forecast vs Actual Chart** — Hourly time-series comparison with zoom/pan across 744 data points</w:t>
      </w:r>
    </w:p>
    <w:p>
      <w:pPr>
        <w:pStyle w:val="ListBullet"/>
      </w:pPr>
      <w:r>
        <w:t>**Forecast Publication History** — View all forecast runs for a delivery date, showing which was selected at cutoff</w:t>
      </w:r>
    </w:p>
    <w:p>
      <w:pPr>
        <w:pStyle w:val="ListBullet"/>
      </w:pPr>
      <w:r>
        <w:t>**Accuracy Analysis** — Error distribution histogram, daily metrics table, MAE/bias over time charts</w:t>
      </w:r>
    </w:p>
    <w:p>
      <w:pPr>
        <w:pStyle w:val="ListBullet"/>
      </w:pPr>
      <w:r>
        <w:t>**Procurement Insight** — Bias direction analysis, uncertainty assessment, worst-error day identification</w:t>
      </w:r>
    </w:p>
    <w:p>
      <w:pPr>
        <w:pStyle w:val="ListBullet"/>
      </w:pPr>
      <w:r>
        <w:t>**Data &amp; Methodology** — Full transparency on data sources, aggregation, cutoff logic, and metric formulas</w:t>
      </w:r>
    </w:p>
    <w:p/>
    <w:p>
      <w:pPr>
        <w:pStyle w:val="Heading2"/>
      </w:pPr>
      <w:r>
        <w:t>Technology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19.3, TypeScript, Vite 8.3, Tailwind CSS v4.3, Recharts 3, TanStack Query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3.12, FastAPI, Pydantic v2, HTTPX, Pandas, NumPy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(46 tests), Vitest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Docker Compose, Nginx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Elexon BMRS API (FUELHH + WINDFOR datasets)</w:t>
            </w:r>
          </w:p>
        </w:tc>
      </w:tr>
    </w:tbl>
    <w:p/>
    <w:p/>
    <w:p>
      <w:pPr>
        <w:pStyle w:val="Heading2"/>
      </w:pPr>
      <w:r>
        <w:t>Prerequisites</w:t>
      </w:r>
    </w:p>
    <w:p/>
    <w:p>
      <w:pPr>
        <w:pStyle w:val="ListBullet"/>
      </w:pPr>
      <w:r>
        <w:t>Docker and Docker Compose (for containerised startup)</w:t>
      </w:r>
    </w:p>
    <w:p>
      <w:pPr>
        <w:pStyle w:val="ListBullet"/>
      </w:pPr>
      <w:r>
        <w:t>OR: Node.js 22+, Python 3.12+, npm (for local development)</w:t>
      </w:r>
    </w:p>
    <w:p/>
    <w:p>
      <w:pPr>
        <w:pStyle w:val="Heading2"/>
      </w:pPr>
      <w:r>
        <w:t>Quick Start (Docker)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git clone &lt;repo-url&gt; &amp;&amp; cd uk-energy-analytics-dashboard</w:t>
        <w:br/>
        <w:t>cp .env.example .env</w:t>
        <w:br/>
        <w:t>docker compose up --build</w:t>
      </w:r>
    </w:p>
    <w:p/>
    <w:p>
      <w:r>
        <w:t xml:space="preserve">The dashboard will be available at </w:t>
      </w:r>
      <w:r>
        <w:rPr>
          <w:rFonts w:ascii="Courier New" w:hAnsi="Courier New"/>
          <w:color w:val="DC2626"/>
          <w:sz w:val="20"/>
        </w:rPr>
        <w:t>http://localhost:3000</w:t>
      </w:r>
      <w:r>
        <w:t xml:space="preserve">. The backend API is at </w:t>
      </w:r>
      <w:r>
        <w:rPr>
          <w:rFonts w:ascii="Courier New" w:hAnsi="Courier New"/>
          <w:color w:val="DC2626"/>
          <w:sz w:val="20"/>
        </w:rPr>
        <w:t>http://localhost:8000/api</w:t>
      </w:r>
      <w:r>
        <w:t>.</w:t>
      </w:r>
    </w:p>
    <w:p/>
    <w:p>
      <w:r>
        <w:t>On first startup, the backend fetches January 2026 data from the Elexon API and caches it to disk. Subsequent startups load from cache with zero API calls.</w:t>
      </w:r>
    </w:p>
    <w:p/>
    <w:p>
      <w:pPr>
        <w:pStyle w:val="Heading2"/>
      </w:pPr>
      <w:r>
        <w:t>Quick Start (Local Development)</w:t>
      </w:r>
    </w:p>
    <w:p/>
    <w:p>
      <w:r/>
      <w:r>
        <w:rPr>
          <w:b/>
        </w:rPr>
        <w:t>Backend: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</w:t>
        <w:br/>
        <w:t>python -m venv venv &amp;&amp; source venv/bin/activate  # or venv\Scripts\activate on Windows</w:t>
        <w:br/>
        <w:t>pip install -r requirements.txt</w:t>
        <w:br/>
        <w:t>cp ../.env.example ../.env</w:t>
        <w:br/>
        <w:t>uvicorn app.main:app --reload --port 8000</w:t>
      </w:r>
    </w:p>
    <w:p/>
    <w:p>
      <w:r/>
      <w:r>
        <w:rPr>
          <w:b/>
        </w:rPr>
        <w:t>Frontend: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frontend</w:t>
        <w:br/>
        <w:t>npm install</w:t>
        <w:br/>
        <w:t>npm run dev</w:t>
      </w:r>
    </w:p>
    <w:p/>
    <w:p>
      <w:r>
        <w:t xml:space="preserve">The frontend dev server at </w:t>
      </w:r>
      <w:r>
        <w:rPr>
          <w:rFonts w:ascii="Courier New" w:hAnsi="Courier New"/>
          <w:color w:val="DC2626"/>
          <w:sz w:val="20"/>
        </w:rPr>
        <w:t>http://localhost:5173</w:t>
      </w:r>
      <w:r>
        <w:t xml:space="preserve"> proxies </w:t>
      </w:r>
      <w:r>
        <w:rPr>
          <w:rFonts w:ascii="Courier New" w:hAnsi="Courier New"/>
          <w:color w:val="DC2626"/>
          <w:sz w:val="20"/>
        </w:rPr>
        <w:t>/api</w:t>
      </w:r>
      <w:r>
        <w:t xml:space="preserve"> requests to the backend.</w:t>
      </w:r>
    </w:p>
    <w:p/>
    <w:p>
      <w:pPr>
        <w:pStyle w:val="Heading2"/>
      </w:pPr>
      <w:r>
        <w:t>Testing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 (46 tests)</w:t>
        <w:br/>
        <w:t>cd backend &amp;&amp; pytest -v</w:t>
        <w:br/>
        <w:br/>
        <w:t># Frontend build check</w:t>
        <w:br/>
        <w:t>cd frontend &amp;&amp; npm run build</w:t>
      </w:r>
    </w:p>
    <w:p/>
    <w:p>
      <w:pPr>
        <w:pStyle w:val="Heading2"/>
      </w:pPr>
      <w:r>
        <w:t>Environment Variables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`ELEXON_BASE_URL`</w:t>
            </w:r>
          </w:p>
        </w:tc>
        <w:tc>
          <w:tcPr>
            <w:tcW w:type="dxa" w:w="2880"/>
          </w:tcPr>
          <w:p>
            <w:r>
              <w:t>`https://data.elexon.co.uk/bmrs/api/v1`</w:t>
            </w:r>
          </w:p>
        </w:tc>
        <w:tc>
          <w:tcPr>
            <w:tcW w:type="dxa" w:w="2880"/>
          </w:tcPr>
          <w:p>
            <w:r>
              <w:t>Elexon BMRS API base URL</w:t>
            </w:r>
          </w:p>
        </w:tc>
      </w:tr>
      <w:tr>
        <w:tc>
          <w:tcPr>
            <w:tcW w:type="dxa" w:w="2880"/>
          </w:tcPr>
          <w:p>
            <w:r>
              <w:t>`FORECAST_CUTOFF_HOUR`</w:t>
            </w:r>
          </w:p>
        </w:tc>
        <w:tc>
          <w:tcPr>
            <w:tcW w:type="dxa" w:w="2880"/>
          </w:tcPr>
          <w:p>
            <w:r>
              <w:t>`9`</w:t>
            </w:r>
          </w:p>
        </w:tc>
        <w:tc>
          <w:tcPr>
            <w:tcW w:type="dxa" w:w="2880"/>
          </w:tcPr>
          <w:p>
            <w:r>
              <w:t>UTC hour on D-1 for forecast selection cutoff</w:t>
            </w:r>
          </w:p>
        </w:tc>
      </w:tr>
      <w:tr>
        <w:tc>
          <w:tcPr>
            <w:tcW w:type="dxa" w:w="2880"/>
          </w:tcPr>
          <w:p>
            <w:r>
              <w:t>`ANALYSIS_YEAR`</w:t>
            </w:r>
          </w:p>
        </w:tc>
        <w:tc>
          <w:tcPr>
            <w:tcW w:type="dxa" w:w="2880"/>
          </w:tcPr>
          <w:p>
            <w:r>
              <w:t>`2026`</w:t>
            </w:r>
          </w:p>
        </w:tc>
        <w:tc>
          <w:tcPr>
            <w:tcW w:type="dxa" w:w="2880"/>
          </w:tcPr>
          <w:p>
            <w:r>
              <w:t>Year for analysis</w:t>
            </w:r>
          </w:p>
        </w:tc>
      </w:tr>
      <w:tr>
        <w:tc>
          <w:tcPr>
            <w:tcW w:type="dxa" w:w="2880"/>
          </w:tcPr>
          <w:p>
            <w:r>
              <w:t>`ANALYSIS_MONTH`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Month for analysis (January)</w:t>
            </w:r>
          </w:p>
        </w:tc>
      </w:tr>
      <w:tr>
        <w:tc>
          <w:tcPr>
            <w:tcW w:type="dxa" w:w="2880"/>
          </w:tcPr>
          <w:p>
            <w:r>
              <w:t>`CACHE_DIR`</w:t>
            </w:r>
          </w:p>
        </w:tc>
        <w:tc>
          <w:tcPr>
            <w:tcW w:type="dxa" w:w="2880"/>
          </w:tcPr>
          <w:p>
            <w:r>
              <w:t>`./cache`</w:t>
            </w:r>
          </w:p>
        </w:tc>
        <w:tc>
          <w:tcPr>
            <w:tcW w:type="dxa" w:w="2880"/>
          </w:tcPr>
          <w:p>
            <w:r>
              <w:t>Directory for cached API responses</w:t>
            </w:r>
          </w:p>
        </w:tc>
      </w:tr>
      <w:tr>
        <w:tc>
          <w:tcPr>
            <w:tcW w:type="dxa" w:w="2880"/>
          </w:tcPr>
          <w:p>
            <w:r>
              <w:t>`CORS_ORIGINS`</w:t>
            </w:r>
          </w:p>
        </w:tc>
        <w:tc>
          <w:tcPr>
            <w:tcW w:type="dxa" w:w="2880"/>
          </w:tcPr>
          <w:p>
            <w:r>
              <w:t>`http://localhost:5173,http://localhost:3000`</w:t>
            </w:r>
          </w:p>
        </w:tc>
        <w:tc>
          <w:tcPr>
            <w:tcW w:type="dxa" w:w="2880"/>
          </w:tcPr>
          <w:p>
            <w:r>
              <w:t>Allowed CORS origins</w:t>
            </w:r>
          </w:p>
        </w:tc>
      </w:tr>
    </w:tbl>
    <w:p/>
    <w:p/>
    <w:p>
      <w:pPr>
        <w:pStyle w:val="Heading2"/>
      </w:pPr>
      <w:r>
        <w:t>API Documentation</w:t>
      </w:r>
    </w:p>
    <w:p/>
    <w:p>
      <w:r>
        <w:t xml:space="preserve">The FastAPI backend provides automatic OpenAPI documentation at </w:t>
      </w:r>
      <w:r>
        <w:rPr>
          <w:rFonts w:ascii="Courier New" w:hAnsi="Courier New"/>
          <w:color w:val="DC2626"/>
          <w:sz w:val="20"/>
        </w:rPr>
        <w:t>http://localhost:8000/docs</w:t>
      </w:r>
      <w:r>
        <w:t>.</w:t>
      </w:r>
    </w:p>
    <w:p/>
    <w:p>
      <w:r>
        <w:t>Key endpoints:</w:t>
      </w:r>
    </w:p>
    <w:p>
      <w:pPr>
        <w:pStyle w:val="ListBullet"/>
      </w:pPr>
      <w:r>
        <w:t>`GET /api/health` — Cache status and data availability</w:t>
      </w:r>
    </w:p>
    <w:p>
      <w:pPr>
        <w:pStyle w:val="ListBullet"/>
      </w:pPr>
      <w:r>
        <w:t>`GET /api/dashboard/kpis` — Aggregated KPI metrics</w:t>
      </w:r>
    </w:p>
    <w:p>
      <w:pPr>
        <w:pStyle w:val="ListBullet"/>
      </w:pPr>
      <w:r>
        <w:t>`GET /api/timeseries?date=2026-01-15` — Hourly forecast vs actual</w:t>
      </w:r>
    </w:p>
    <w:p>
      <w:pPr>
        <w:pStyle w:val="ListBullet"/>
      </w:pPr>
      <w:r>
        <w:t>`GET /api/forecast-history?date=2026-01-15` — All forecast runs for a delivery date</w:t>
      </w:r>
    </w:p>
    <w:p>
      <w:pPr>
        <w:pStyle w:val="ListBullet"/>
      </w:pPr>
      <w:r>
        <w:t>`GET /api/accuracy/summary` — Overall accuracy metrics</w:t>
      </w:r>
    </w:p>
    <w:p>
      <w:pPr>
        <w:pStyle w:val="ListBullet"/>
      </w:pPr>
      <w:r>
        <w:t>`GET /api/accuracy/daily` — Per-day accuracy breakdown</w:t>
      </w:r>
    </w:p>
    <w:p>
      <w:pPr>
        <w:pStyle w:val="ListBullet"/>
      </w:pPr>
      <w:r>
        <w:t>`GET /api/metadata` — Data source and methodology details</w:t>
      </w:r>
    </w:p>
    <w:p/>
    <w:p>
      <w:pPr>
        <w:pStyle w:val="Heading2"/>
      </w:pPr>
      <w:r>
        <w:t>Repository Structure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├── backend/           Python FastAPI application</w:t>
        <w:br/>
        <w:t>│   ├── app/</w:t>
        <w:br/>
        <w:t>│   │   ├── models/    Pydantic data models</w:t>
        <w:br/>
        <w:t>│   │   ├── services/  Business logic (Elexon client, data processing, metrics)</w:t>
        <w:br/>
        <w:t>│   │   ├── routers/   API endpoints</w:t>
        <w:br/>
        <w:t>│   │   └── utils/     Time helpers</w:t>
        <w:br/>
        <w:t>│   └── tests/         pytest test suite (46 tests)</w:t>
        <w:br/>
        <w:t>├── frontend/          React SPA</w:t>
        <w:br/>
        <w:t>│   ├── src/</w:t>
        <w:br/>
        <w:t>│   │   ├── components/  UI components (layout, dashboard, charts, accuracy)</w:t>
        <w:br/>
        <w:t>│   │   ├── hooks/       TanStack Query data hooks</w:t>
        <w:br/>
        <w:t>│   │   ├── lib/         API client, utilities, constants</w:t>
        <w:br/>
        <w:t>│   │   └── pages/       Route-level page components</w:t>
        <w:br/>
        <w:t>│   └── tests/         Vitest test setup</w:t>
        <w:br/>
        <w:t>├── docs/              Markdown documentation (19 files)</w:t>
        <w:br/>
        <w:t>├── deliverables/      Word documents (.docx, 8 files)</w:t>
        <w:br/>
        <w:t>└── docker-compose.yml Docker Compose configuration</w:t>
      </w:r>
    </w:p>
    <w:p/>
    <w:p>
      <w:pPr>
        <w:pStyle w:val="Heading2"/>
      </w:pPr>
      <w:r>
        <w:t>Key Technical Decisions</w:t>
      </w:r>
    </w:p>
    <w:p/>
    <w:p>
      <w:pPr>
        <w:pStyle w:val="ListNumber"/>
      </w:pPr>
      <w:r>
        <w:t>**Resolution mismatch**: FUELHH (actuals) is half-hourly; WINDFOR (forecasts) is hourly. Two half-hours are averaged to one hourly value for comparison.</w:t>
      </w:r>
    </w:p>
    <w:p>
      <w:pPr>
        <w:pStyle w:val="ListNumber"/>
      </w:pPr>
      <w:r>
        <w:t>**Forecast cutoff**: 09:00 UTC on D-1, matching the N2EX GB day-ahead auction close time. Configurable via environment variable.</w:t>
      </w:r>
    </w:p>
    <w:p>
      <w:pPr>
        <w:pStyle w:val="ListNumber"/>
      </w:pPr>
      <w:r>
        <w:t>**Caching**: Two-tier (in-memory + file). January 2026 data is historical and cached aggressively — after first fetch, the backend requires zero API calls.</w:t>
      </w:r>
    </w:p>
    <w:p>
      <w:pPr>
        <w:pStyle w:val="ListNumber"/>
      </w:pPr>
      <w:r>
        <w:t>**API parameters**: FUELHH uses `settlementDateFrom`/`settlementDateTo` (not `from`/`to`). Discovered through live API testing.</w:t>
      </w:r>
    </w:p>
    <w:p/>
    <w:p>
      <w:pPr>
        <w:pStyle w:val="Heading2"/>
      </w:pPr>
      <w:r>
        <w:t>Data Source</w:t>
      </w:r>
    </w:p>
    <w:p/>
    <w:p>
      <w:r>
        <w:t>All data comes from the [Elexon BMRS API](https://bmrs.elexon.co.uk/api-documentation), the official source for GB electricity market data. No API key is required.</w:t>
      </w:r>
    </w:p>
    <w:p/>
    <w:p>
      <w:pPr>
        <w:pStyle w:val="ListBullet"/>
      </w:pPr>
      <w:r>
        <w:t>**FUELHH** — Actual half-hourly generation by fuel type (filtered to WIND)</w:t>
      </w:r>
    </w:p>
    <w:p>
      <w:pPr>
        <w:pStyle w:val="ListBullet"/>
      </w:pPr>
      <w:r>
        <w:t>**WINDFOR** — Wind generation forecast with publication timestamps</w:t>
      </w:r>
    </w:p>
    <w:p/>
    <w:p>
      <w:pPr>
        <w:pStyle w:val="Heading2"/>
      </w:pPr>
      <w:r>
        <w:t>AI Tools Used</w:t>
      </w:r>
    </w:p>
    <w:p/>
    <w:p>
      <w:pPr>
        <w:pStyle w:val="ListBullet"/>
      </w:pPr>
      <w:r>
        <w:t>**Claude Opus 4.6** (Anthropic) — Primary development assistant for all code, documentation, and architecture decisions.</w:t>
      </w:r>
    </w:p>
    <w:p/>
    <w:p>
      <w:pPr>
        <w:pStyle w:val="Heading2"/>
      </w:pPr>
      <w:r>
        <w:t>Known Limitations</w:t>
      </w:r>
    </w:p>
    <w:p/>
    <w:p>
      <w:pPr>
        <w:pStyle w:val="ListBullet"/>
      </w:pPr>
      <w:r>
        <w:t>Analysis restricted to January 2026 delivery periods</w:t>
      </w:r>
    </w:p>
    <w:p>
      <w:pPr>
        <w:pStyle w:val="ListBullet"/>
      </w:pPr>
      <w:r>
        <w:t>MAPE excluded for hours where actual generation ≤ 1 MW (division by near-zero)</w:t>
      </w:r>
    </w:p>
    <w:p>
      <w:pPr>
        <w:pStyle w:val="ListBullet"/>
      </w:pPr>
      <w:r>
        <w:t>Forecast history depends on Elexon API returning historical publication timestamps</w:t>
      </w:r>
    </w:p>
    <w:p>
      <w:pPr>
        <w:pStyle w:val="ListBullet"/>
      </w:pPr>
      <w:r>
        <w:t>No consumer demand data — procurement insights are indicative only</w:t>
      </w:r>
    </w:p>
    <w:p>
      <w:pPr>
        <w:pStyle w:val="ListBullet"/>
      </w:pPr>
      <w:r>
        <w:t>Single-month scope — seasonal patterns cannot be assessed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