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Software Requirements Specification</w:t>
      </w:r>
    </w:p>
    <w:p>
      <w:pPr>
        <w:jc w:val="center"/>
      </w:pPr>
      <w:r>
        <w:rPr>
          <w:i/>
          <w:sz w:val="32"/>
        </w:rPr>
        <w:t>UK Wind Forecast Accuracy Dashboard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Software Requirements Specification</w:t>
      </w:r>
    </w:p>
    <w:p/>
    <w:p>
      <w:pPr>
        <w:pStyle w:val="Heading2"/>
      </w:pPr>
      <w:r>
        <w:t>1. Introduction</w:t>
      </w:r>
    </w:p>
    <w:p/>
    <w:p>
      <w:r>
        <w:t>This document specifies the functional and non-functional requirements for the UK Wind Forecast Accuracy Dashboard. Each requirement has a unique identifier for traceability.</w:t>
      </w:r>
    </w:p>
    <w:p/>
    <w:p>
      <w:pPr>
        <w:pStyle w:val="Heading2"/>
      </w:pPr>
      <w:r>
        <w:t>2. Functional Requirements</w:t>
      </w:r>
    </w:p>
    <w:p/>
    <w:p>
      <w:pPr>
        <w:pStyle w:val="Heading3"/>
      </w:pPr>
      <w:r>
        <w:t>2.1 Data Ingestion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The system shall fetch actual wind generation data from the Elexon BMRS FUELHH stream endpoint using `settlementDateFrom` and `settlementDateTo` parameters with `fuelType=WIND`.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FR-002</w:t>
            </w:r>
          </w:p>
        </w:tc>
        <w:tc>
          <w:tcPr>
            <w:tcW w:type="dxa" w:w="2880"/>
          </w:tcPr>
          <w:p>
            <w:r>
              <w:t>The system shall fetch wind forecast data from the Elexon BMRS WINDFOR stream endpoint using `from`, `to`, `publishDateTimeFrom`, and `publishDateTimeTo` parameters.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The system shall parse FUELHH responses as flat JSON arrays containing fields: dataset, publishTime, startTime, settlementDate, settlementPeriod, fuelType, generation.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The system shall parse WINDFOR responses as flat JSON arrays containing fields: dataset, publishTime, startTime, generation.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The system shall treat all timestamps as UTC.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FR-006</w:t>
            </w:r>
          </w:p>
        </w:tc>
        <w:tc>
          <w:tcPr>
            <w:tcW w:type="dxa" w:w="2880"/>
          </w:tcPr>
          <w:p>
            <w:r>
              <w:t>The system shall retry failed API requests up to 3 times with exponential backoff for 5xx errors and timeouts.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/>
    <w:p/>
    <w:p>
      <w:pPr>
        <w:pStyle w:val="Heading3"/>
      </w:pPr>
      <w:r>
        <w:t>2.2 Data Processing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FR-007</w:t>
            </w:r>
          </w:p>
        </w:tc>
        <w:tc>
          <w:tcPr>
            <w:tcW w:type="dxa" w:w="2880"/>
          </w:tcPr>
          <w:p>
            <w:r>
              <w:t>The system shall aggregate FUELHH half-hourly records to hourly by averaging generation values for each pair of settlement periods within the same clock hour (floor startTime to nearest hour).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FR-008</w:t>
            </w:r>
          </w:p>
        </w:tc>
        <w:tc>
          <w:tcPr>
            <w:tcW w:type="dxa" w:w="2880"/>
          </w:tcPr>
          <w:p>
            <w:r>
              <w:t>The system shall track how many half-hour records contributed to each hourly value (half_hour_count: 1 or 2).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FR-009</w:t>
            </w:r>
          </w:p>
        </w:tc>
        <w:tc>
          <w:tcPr>
            <w:tcW w:type="dxa" w:w="2880"/>
          </w:tcPr>
          <w:p>
            <w:r>
              <w:t>The system shall select the day-ahead forecast using the D-1 cutoff rule: for each delivery date, find the WINDFOR forecast run with the latest publishTime that is strictly before the cutoff time.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FR-010</w:t>
            </w:r>
          </w:p>
        </w:tc>
        <w:tc>
          <w:tcPr>
            <w:tcW w:type="dxa" w:w="2880"/>
          </w:tcPr>
          <w:p>
            <w:r>
              <w:t>The cutoff time shall default to 09:00 UTC on the day before delivery and be configurable via the FORECAST_CUTOFF_HOUR environment variable.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FR-011</w:t>
            </w:r>
          </w:p>
        </w:tc>
        <w:tc>
          <w:tcPr>
            <w:tcW w:type="dxa" w:w="2880"/>
          </w:tcPr>
          <w:p>
            <w:r>
              <w:t>The system shall pair forecasts and actuals by matching on identical hour timestamps (inner join). Hours with missing data on either side shall be excluded from metrics.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FR-012</w:t>
            </w:r>
          </w:p>
        </w:tc>
        <w:tc>
          <w:tcPr>
            <w:tcW w:type="dxa" w:w="2880"/>
          </w:tcPr>
          <w:p>
            <w:r>
              <w:t>The system shall not silently fill missing actual observations or treat missing forecasts as zero.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/>
    <w:p/>
    <w:p>
      <w:pPr>
        <w:pStyle w:val="Heading3"/>
      </w:pPr>
      <w:r>
        <w:t>2.3 Accuracy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FR-013</w:t>
            </w:r>
          </w:p>
        </w:tc>
        <w:tc>
          <w:tcPr>
            <w:tcW w:type="dxa" w:w="1728"/>
          </w:tcPr>
          <w:p>
            <w:r>
              <w:t>The system shall calculate MAE as mean(</w:t>
            </w:r>
          </w:p>
        </w:tc>
        <w:tc>
          <w:tcPr>
            <w:tcW w:type="dxa" w:w="1728"/>
          </w:tcPr>
          <w:p>
            <w:r>
              <w:t>forecast - actual</w:t>
            </w:r>
          </w:p>
        </w:tc>
        <w:tc>
          <w:tcPr>
            <w:tcW w:type="dxa" w:w="1728"/>
          </w:tcPr>
          <w:p>
            <w:r>
              <w:t>) in MW.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FR-014</w:t>
            </w:r>
          </w:p>
        </w:tc>
        <w:tc>
          <w:tcPr>
            <w:tcW w:type="dxa" w:w="1728"/>
          </w:tcPr>
          <w:p>
            <w:r>
              <w:t>The system shall calculate RMSE as sqrt(mean((forecast - actual)²)) in MW.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FR-015</w:t>
            </w:r>
          </w:p>
        </w:tc>
        <w:tc>
          <w:tcPr>
            <w:tcW w:type="dxa" w:w="1728"/>
          </w:tcPr>
          <w:p>
            <w:r>
              <w:t>The system shall calculate bias as mean(forecast - actual) in MW. Positive bias indicates over-forecasting.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FR-016</w:t>
            </w:r>
          </w:p>
        </w:tc>
        <w:tc>
          <w:tcPr>
            <w:tcW w:type="dxa" w:w="1728"/>
          </w:tcPr>
          <w:p>
            <w:r>
              <w:t>The system shall calculate MAPE as mean(</w:t>
            </w:r>
          </w:p>
        </w:tc>
        <w:tc>
          <w:tcPr>
            <w:tcW w:type="dxa" w:w="1728"/>
          </w:tcPr>
          <w:p>
            <w:r>
              <w:t>forecast - actual</w:t>
            </w:r>
          </w:p>
        </w:tc>
        <w:tc>
          <w:tcPr>
            <w:tcW w:type="dxa" w:w="1728"/>
          </w:tcPr>
          <w:p>
            <w:r>
              <w:t>/ actual) × 100, excluding hours where actual ≤ 1 MW.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FR-017</w:t>
            </w:r>
          </w:p>
        </w:tc>
        <w:tc>
          <w:tcPr>
            <w:tcW w:type="dxa" w:w="1728"/>
          </w:tcPr>
          <w:p>
            <w:r>
              <w:t>The system shall calculate Pearson correlation coefficient between forecast and actual series.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FR-018</w:t>
            </w:r>
          </w:p>
        </w:tc>
        <w:tc>
          <w:tcPr>
            <w:tcW w:type="dxa" w:w="1728"/>
          </w:tcPr>
          <w:p>
            <w:r>
              <w:t>The system shall report the number of paired hours used in each metric calculation.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>
      <w:pPr>
        <w:pStyle w:val="Heading3"/>
      </w:pPr>
      <w:r>
        <w:t>2.4 API Endpoints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FR-019</w:t>
            </w:r>
          </w:p>
        </w:tc>
        <w:tc>
          <w:tcPr>
            <w:tcW w:type="dxa" w:w="2880"/>
          </w:tcPr>
          <w:p>
            <w:r>
              <w:t>GET /api/health shall return cache status, dates cached, and total paired hours.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FR-020</w:t>
            </w:r>
          </w:p>
        </w:tc>
        <w:tc>
          <w:tcPr>
            <w:tcW w:type="dxa" w:w="2880"/>
          </w:tcPr>
          <w:p>
            <w:r>
              <w:t>GET /api/dashboard/kpis shall return summary metrics for the full analysis period or a date range.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FR-021</w:t>
            </w:r>
          </w:p>
        </w:tc>
        <w:tc>
          <w:tcPr>
            <w:tcW w:type="dxa" w:w="2880"/>
          </w:tcPr>
          <w:p>
            <w:r>
              <w:t>GET /api/timeseries shall return hourly forecast, actual, and error values, filterable by date or date range.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FR-022</w:t>
            </w:r>
          </w:p>
        </w:tc>
        <w:tc>
          <w:tcPr>
            <w:tcW w:type="dxa" w:w="2880"/>
          </w:tcPr>
          <w:p>
            <w:r>
              <w:t>GET /api/forecast-history shall return all forecast runs for a given delivery date, indicating which was selected by the cutoff rule.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FR-023</w:t>
            </w:r>
          </w:p>
        </w:tc>
        <w:tc>
          <w:tcPr>
            <w:tcW w:type="dxa" w:w="2880"/>
          </w:tcPr>
          <w:p>
            <w:r>
              <w:t>GET /api/accuracy/summary shall return overall accuracy metrics.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FR-024</w:t>
            </w:r>
          </w:p>
        </w:tc>
        <w:tc>
          <w:tcPr>
            <w:tcW w:type="dxa" w:w="2880"/>
          </w:tcPr>
          <w:p>
            <w:r>
              <w:t>GET /api/accuracy/daily shall return per-day accuracy metrics.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FR-025</w:t>
            </w:r>
          </w:p>
        </w:tc>
        <w:tc>
          <w:tcPr>
            <w:tcW w:type="dxa" w:w="2880"/>
          </w:tcPr>
          <w:p>
            <w:r>
              <w:t>GET /api/accuracy/error-distribution shall return histogram bins of forecast errors with configurable bin width.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FR-026</w:t>
            </w:r>
          </w:p>
        </w:tc>
        <w:tc>
          <w:tcPr>
            <w:tcW w:type="dxa" w:w="2880"/>
          </w:tcPr>
          <w:p>
            <w:r>
              <w:t>GET /api/metadata shall return data source information, methodology description, and completeness statistics.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/>
    <w:p/>
    <w:p>
      <w:pPr>
        <w:pStyle w:val="Heading3"/>
      </w:pPr>
      <w:r>
        <w:t>2.5 Frontend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FR-027</w:t>
            </w:r>
          </w:p>
        </w:tc>
        <w:tc>
          <w:tcPr>
            <w:tcW w:type="dxa" w:w="2880"/>
          </w:tcPr>
          <w:p>
            <w:r>
              <w:t>The frontend shall display a Dashboard page with KPI cards and a full-month time series chart.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FR-028</w:t>
            </w:r>
          </w:p>
        </w:tc>
        <w:tc>
          <w:tcPr>
            <w:tcW w:type="dxa" w:w="2880"/>
          </w:tcPr>
          <w:p>
            <w:r>
              <w:t>The frontend shall display a Time Series page with date selection and forecast vs actual chart.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FR-029</w:t>
            </w:r>
          </w:p>
        </w:tc>
        <w:tc>
          <w:tcPr>
            <w:tcW w:type="dxa" w:w="2880"/>
          </w:tcPr>
          <w:p>
            <w:r>
              <w:t>The frontend shall display an Accuracy page with summary metrics, daily table, error distribution, and daily chart.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FR-030</w:t>
            </w:r>
          </w:p>
        </w:tc>
        <w:tc>
          <w:tcPr>
            <w:tcW w:type="dxa" w:w="2880"/>
          </w:tcPr>
          <w:p>
            <w:r>
              <w:t>The frontend shall display a Procurement Insight page with bias analysis and worst-day table.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FR-031</w:t>
            </w:r>
          </w:p>
        </w:tc>
        <w:tc>
          <w:tcPr>
            <w:tcW w:type="dxa" w:w="2880"/>
          </w:tcPr>
          <w:p>
            <w:r>
              <w:t>The frontend shall display a Methodology page explaining data sources, processing, and metrics.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FR-032</w:t>
            </w:r>
          </w:p>
        </w:tc>
        <w:tc>
          <w:tcPr>
            <w:tcW w:type="dxa" w:w="2880"/>
          </w:tcPr>
          <w:p>
            <w:r>
              <w:t>The frontend shall show loading skeletons while data is fetching.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FR-033</w:t>
            </w:r>
          </w:p>
        </w:tc>
        <w:tc>
          <w:tcPr>
            <w:tcW w:type="dxa" w:w="2880"/>
          </w:tcPr>
          <w:p>
            <w:r>
              <w:t>The frontend shall show error alerts when API requests fail.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FR-034</w:t>
            </w:r>
          </w:p>
        </w:tc>
        <w:tc>
          <w:tcPr>
            <w:tcW w:type="dxa" w:w="2880"/>
          </w:tcPr>
          <w:p>
            <w:r>
              <w:t>The frontend shall show meaningful empty states when no data is available.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/>
    <w:p/>
    <w:p>
      <w:pPr>
        <w:pStyle w:val="Heading2"/>
      </w:pPr>
      <w:r>
        <w:t>3. Data Validation Rules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DV-001</w:t>
            </w:r>
          </w:p>
        </w:tc>
        <w:tc>
          <w:tcPr>
            <w:tcW w:type="dxa" w:w="4320"/>
          </w:tcPr>
          <w:p>
            <w:r>
              <w:t>FUELHH `generation` values are integers in MW. Values may be negative for some fuel types but WIND generation is non-negative.</w:t>
            </w:r>
          </w:p>
        </w:tc>
      </w:tr>
      <w:tr>
        <w:tc>
          <w:tcPr>
            <w:tcW w:type="dxa" w:w="4320"/>
          </w:tcPr>
          <w:p>
            <w:r>
              <w:t>DV-002</w:t>
            </w:r>
          </w:p>
        </w:tc>
        <w:tc>
          <w:tcPr>
            <w:tcW w:type="dxa" w:w="4320"/>
          </w:tcPr>
          <w:p>
            <w:r>
              <w:t>WINDFOR `generation` values are integers in MW, always non-negative.</w:t>
            </w:r>
          </w:p>
        </w:tc>
      </w:tr>
      <w:tr>
        <w:tc>
          <w:tcPr>
            <w:tcW w:type="dxa" w:w="4320"/>
          </w:tcPr>
          <w:p>
            <w:r>
              <w:t>DV-003</w:t>
            </w:r>
          </w:p>
        </w:tc>
        <w:tc>
          <w:tcPr>
            <w:tcW w:type="dxa" w:w="4320"/>
          </w:tcPr>
          <w:p>
            <w:r>
              <w:t>All timestamps must parse as valid ISO 8601 datetime with UTC timezone.</w:t>
            </w:r>
          </w:p>
        </w:tc>
      </w:tr>
      <w:tr>
        <w:tc>
          <w:tcPr>
            <w:tcW w:type="dxa" w:w="4320"/>
          </w:tcPr>
          <w:p>
            <w:r>
              <w:t>DV-004</w:t>
            </w:r>
          </w:p>
        </w:tc>
        <w:tc>
          <w:tcPr>
            <w:tcW w:type="dxa" w:w="4320"/>
          </w:tcPr>
          <w:p>
            <w:r>
              <w:t>Settlement periods must be integers 1–48.</w:t>
            </w:r>
          </w:p>
        </w:tc>
      </w:tr>
      <w:tr>
        <w:tc>
          <w:tcPr>
            <w:tcW w:type="dxa" w:w="4320"/>
          </w:tcPr>
          <w:p>
            <w:r>
              <w:t>DV-005</w:t>
            </w:r>
          </w:p>
        </w:tc>
        <w:tc>
          <w:tcPr>
            <w:tcW w:type="dxa" w:w="4320"/>
          </w:tcPr>
          <w:p>
            <w:r>
              <w:t>Delivery dates must fall within the configured analysis period (January 2026 by default).</w:t>
            </w:r>
          </w:p>
        </w:tc>
      </w:tr>
    </w:tbl>
    <w:p/>
    <w:p/>
    <w:p>
      <w:pPr>
        <w:pStyle w:val="Heading2"/>
      </w:pPr>
      <w:r>
        <w:t>4. Non-Functional Requirements</w:t>
      </w:r>
    </w:p>
    <w:p/>
    <w:p>
      <w:pPr>
        <w:pStyle w:val="Heading3"/>
      </w:pPr>
      <w:r>
        <w:t>4.1 Performance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NFR-001</w:t>
            </w:r>
          </w:p>
        </w:tc>
        <w:tc>
          <w:tcPr>
            <w:tcW w:type="dxa" w:w="4320"/>
          </w:tcPr>
          <w:p>
            <w:r>
              <w:t>Cache warm-up (initial data fetch) shall complete in under 2 minutes.</w:t>
            </w:r>
          </w:p>
        </w:tc>
      </w:tr>
      <w:tr>
        <w:tc>
          <w:tcPr>
            <w:tcW w:type="dxa" w:w="4320"/>
          </w:tcPr>
          <w:p>
            <w:r>
              <w:t>NFR-002</w:t>
            </w:r>
          </w:p>
        </w:tc>
        <w:tc>
          <w:tcPr>
            <w:tcW w:type="dxa" w:w="4320"/>
          </w:tcPr>
          <w:p>
            <w:r>
              <w:t>All API endpoints shall respond in under 500ms when data is cached.</w:t>
            </w:r>
          </w:p>
        </w:tc>
      </w:tr>
      <w:tr>
        <w:tc>
          <w:tcPr>
            <w:tcW w:type="dxa" w:w="4320"/>
          </w:tcPr>
          <w:p>
            <w:r>
              <w:t>NFR-003</w:t>
            </w:r>
          </w:p>
        </w:tc>
        <w:tc>
          <w:tcPr>
            <w:tcW w:type="dxa" w:w="4320"/>
          </w:tcPr>
          <w:p>
            <w:r>
              <w:t>The frontend shall render the dashboard page in under 3 seconds.</w:t>
            </w:r>
          </w:p>
        </w:tc>
      </w:tr>
    </w:tbl>
    <w:p/>
    <w:p/>
    <w:p>
      <w:pPr>
        <w:pStyle w:val="Heading3"/>
      </w:pPr>
      <w:r>
        <w:t>4.2 Reliability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NFR-004</w:t>
            </w:r>
          </w:p>
        </w:tc>
        <w:tc>
          <w:tcPr>
            <w:tcW w:type="dxa" w:w="4320"/>
          </w:tcPr>
          <w:p>
            <w:r>
              <w:t>After initial cache warm-up, the application shall function without internet access (data served from disk cache).</w:t>
            </w:r>
          </w:p>
        </w:tc>
      </w:tr>
      <w:tr>
        <w:tc>
          <w:tcPr>
            <w:tcW w:type="dxa" w:w="4320"/>
          </w:tcPr>
          <w:p>
            <w:r>
              <w:t>NFR-005</w:t>
            </w:r>
          </w:p>
        </w:tc>
        <w:tc>
          <w:tcPr>
            <w:tcW w:type="dxa" w:w="4320"/>
          </w:tcPr>
          <w:p>
            <w:r>
              <w:t>API errors from Elexon shall be retried with exponential backoff.</w:t>
            </w:r>
          </w:p>
        </w:tc>
      </w:tr>
    </w:tbl>
    <w:p/>
    <w:p/>
    <w:p>
      <w:pPr>
        <w:pStyle w:val="Heading3"/>
      </w:pPr>
      <w:r>
        <w:t>4.3 Usability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NFR-006</w:t>
            </w:r>
          </w:p>
        </w:tc>
        <w:tc>
          <w:tcPr>
            <w:tcW w:type="dxa" w:w="4320"/>
          </w:tcPr>
          <w:p>
            <w:r>
              <w:t>The interface shall be responsive across desktop (1280px+), tablet (768px–1279px), and mobile (&lt; 768px).</w:t>
            </w:r>
          </w:p>
        </w:tc>
      </w:tr>
      <w:tr>
        <w:tc>
          <w:tcPr>
            <w:tcW w:type="dxa" w:w="4320"/>
          </w:tcPr>
          <w:p>
            <w:r>
              <w:t>NFR-007</w:t>
            </w:r>
          </w:p>
        </w:tc>
        <w:tc>
          <w:tcPr>
            <w:tcW w:type="dxa" w:w="4320"/>
          </w:tcPr>
          <w:p>
            <w:r>
              <w:t>Chart tooltips shall display values with units (MW).</w:t>
            </w:r>
          </w:p>
        </w:tc>
      </w:tr>
      <w:tr>
        <w:tc>
          <w:tcPr>
            <w:tcW w:type="dxa" w:w="4320"/>
          </w:tcPr>
          <w:p>
            <w:r>
              <w:t>NFR-008</w:t>
            </w:r>
          </w:p>
        </w:tc>
        <w:tc>
          <w:tcPr>
            <w:tcW w:type="dxa" w:w="4320"/>
          </w:tcPr>
          <w:p>
            <w:r>
              <w:t>The sidebar navigation shall collapse to a hamburger menu on mobile.</w:t>
            </w:r>
          </w:p>
        </w:tc>
      </w:tr>
    </w:tbl>
    <w:p/>
    <w:p/>
    <w:p>
      <w:pPr>
        <w:pStyle w:val="Heading3"/>
      </w:pPr>
      <w:r>
        <w:t>4.4 Security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NFR-009</w:t>
            </w:r>
          </w:p>
        </w:tc>
        <w:tc>
          <w:tcPr>
            <w:tcW w:type="dxa" w:w="4320"/>
          </w:tcPr>
          <w:p>
            <w:r>
              <w:t>No API keys or secrets shall be included in frontend source code.</w:t>
            </w:r>
          </w:p>
        </w:tc>
      </w:tr>
      <w:tr>
        <w:tc>
          <w:tcPr>
            <w:tcW w:type="dxa" w:w="4320"/>
          </w:tcPr>
          <w:p>
            <w:r>
              <w:t>NFR-010</w:t>
            </w:r>
          </w:p>
        </w:tc>
        <w:tc>
          <w:tcPr>
            <w:tcW w:type="dxa" w:w="4320"/>
          </w:tcPr>
          <w:p>
            <w:r>
              <w:t>CORS shall be configured to allow only known frontend origins.</w:t>
            </w:r>
          </w:p>
        </w:tc>
      </w:tr>
      <w:tr>
        <w:tc>
          <w:tcPr>
            <w:tcW w:type="dxa" w:w="4320"/>
          </w:tcPr>
          <w:p>
            <w:r>
              <w:t>NFR-011</w:t>
            </w:r>
          </w:p>
        </w:tc>
        <w:tc>
          <w:tcPr>
            <w:tcW w:type="dxa" w:w="4320"/>
          </w:tcPr>
          <w:p>
            <w:r>
              <w:t>All query parameters shall be validated via Pydantic models.</w:t>
            </w:r>
          </w:p>
        </w:tc>
      </w:tr>
    </w:tbl>
    <w:p/>
    <w:p/>
    <w:p>
      <w:pPr>
        <w:pStyle w:val="Heading2"/>
      </w:pPr>
      <w:r>
        <w:t>5. External Dependencies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Elexon BMRS API v1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Source for FUELHH and WINDFOR datasets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19.3</w:t>
            </w:r>
          </w:p>
        </w:tc>
        <w:tc>
          <w:tcPr>
            <w:tcW w:type="dxa" w:w="2880"/>
          </w:tcPr>
          <w:p>
            <w:r>
              <w:t>Frontend framework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8.3</w:t>
            </w:r>
          </w:p>
        </w:tc>
        <w:tc>
          <w:tcPr>
            <w:tcW w:type="dxa" w:w="2880"/>
          </w:tcPr>
          <w:p>
            <w:r>
              <w:t>Frontend build tool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0.162+</w:t>
            </w:r>
          </w:p>
        </w:tc>
        <w:tc>
          <w:tcPr>
            <w:tcW w:type="dxa" w:w="2880"/>
          </w:tcPr>
          <w:p>
            <w:r>
              <w:t>Backend framework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2.9+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Charting library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Server-state management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