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8A"/>
          <w:sz w:val="48"/>
        </w:rPr>
        <w:t>User Guide</w:t>
      </w:r>
    </w:p>
    <w:p>
      <w:pPr>
        <w:jc w:val="center"/>
      </w:pPr>
      <w:r>
        <w:rPr>
          <w:i/>
          <w:sz w:val="32"/>
        </w:rPr>
        <w:t>UK Wind Forecast Accuracy Dashboard</w:t>
      </w:r>
    </w:p>
    <w:p/>
    <w:p/>
    <w:p>
      <w:pPr>
        <w:jc w:val="center"/>
      </w:pPr>
      <w:r>
        <w:rPr>
          <w:sz w:val="24"/>
        </w:rPr>
        <w:t>Date: October 26, 2026</w:t>
      </w:r>
    </w:p>
    <w:p>
      <w:r>
        <w:br w:type="page"/>
      </w:r>
    </w:p>
    <w:p>
      <w:pPr>
        <w:pStyle w:val="Heading1"/>
      </w:pPr>
      <w:r>
        <w:rPr>
          <w:color w:val="1E3A8A"/>
        </w:rPr>
        <w:t>User Guide</w:t>
      </w:r>
    </w:p>
    <w:p/>
    <w:p>
      <w:pPr>
        <w:pStyle w:val="Heading2"/>
      </w:pPr>
      <w:r>
        <w:t>Introduction</w:t>
      </w:r>
    </w:p>
    <w:p/>
    <w:p>
      <w:r>
        <w:t xml:space="preserve">The </w:t>
      </w:r>
      <w:r>
        <w:rPr>
          <w:b/>
        </w:rPr>
        <w:t>UK Wind Forecast Accuracy Dashboard</w:t>
      </w:r>
      <w:r>
        <w:t xml:space="preserve"> helps electricity procurement analysts evaluate the accuracy of day-ahead wind generation forecasts for January 2026. This tool compares Elexon BMRS forecasts (WINDFOR dataset) against actual wind generation (FUELHH dataset) to support better purchasing decisions in the GB day-ahead market.</w:t>
      </w:r>
    </w:p>
    <w:p/>
    <w:p>
      <w:pPr>
        <w:pStyle w:val="Heading3"/>
      </w:pPr>
      <w:r>
        <w:t>Who is this for?</w:t>
      </w:r>
    </w:p>
    <w:p>
      <w:pPr>
        <w:pStyle w:val="ListBullet"/>
      </w:pPr>
      <w:r>
        <w:t>Electricity procurement analysts</w:t>
      </w:r>
    </w:p>
    <w:p>
      <w:pPr>
        <w:pStyle w:val="ListBullet"/>
      </w:pPr>
      <w:r>
        <w:t>Trading desk staff</w:t>
      </w:r>
    </w:p>
    <w:p>
      <w:pPr>
        <w:pStyle w:val="ListBullet"/>
      </w:pPr>
      <w:r>
        <w:t>Energy market researchers</w:t>
      </w:r>
    </w:p>
    <w:p>
      <w:pPr>
        <w:pStyle w:val="ListBullet"/>
      </w:pPr>
      <w:r>
        <w:t>Grid operations teams</w:t>
      </w:r>
    </w:p>
    <w:p/>
    <w:p>
      <w:pPr>
        <w:pStyle w:val="Heading3"/>
      </w:pPr>
      <w:r>
        <w:t>What can you do?</w:t>
      </w:r>
    </w:p>
    <w:p>
      <w:pPr>
        <w:pStyle w:val="ListBullet"/>
      </w:pPr>
      <w:r>
        <w:t>View overall forecast accuracy metrics (MAE, RMSE, bias)</w:t>
      </w:r>
    </w:p>
    <w:p>
      <w:pPr>
        <w:pStyle w:val="ListBullet"/>
      </w:pPr>
      <w:r>
        <w:t>Compare hourly forecast vs actual wind generation</w:t>
      </w:r>
    </w:p>
    <w:p>
      <w:pPr>
        <w:pStyle w:val="ListBullet"/>
      </w:pPr>
      <w:r>
        <w:t>Identify days with largest forecast errors</w:t>
      </w:r>
    </w:p>
    <w:p>
      <w:pPr>
        <w:pStyle w:val="ListBullet"/>
      </w:pPr>
      <w:r>
        <w:t>Understand forecast methodology and data sources</w:t>
      </w:r>
    </w:p>
    <w:p>
      <w:pPr>
        <w:pStyle w:val="ListBullet"/>
      </w:pPr>
      <w:r>
        <w:t>Export data for further analysis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Getting Started</w:t>
      </w:r>
    </w:p>
    <w:p/>
    <w:p>
      <w:pPr>
        <w:pStyle w:val="Heading3"/>
      </w:pPr>
      <w:r>
        <w:t>Accessing the Dashboard</w:t>
      </w:r>
    </w:p>
    <w:p/>
    <w:p>
      <w:r/>
      <w:r>
        <w:rPr>
          <w:b/>
        </w:rPr>
        <w:t>Development:</w:t>
      </w:r>
      <w:r>
        <w:t xml:space="preserve"> http://localhost:5173</w:t>
      </w:r>
    </w:p>
    <w:p>
      <w:r/>
      <w:r>
        <w:rPr>
          <w:b/>
        </w:rPr>
        <w:t>Production:</w:t>
      </w:r>
      <w:r>
        <w:t xml:space="preserve"> [Your deployed URL]</w:t>
      </w:r>
    </w:p>
    <w:p/>
    <w:p>
      <w:r>
        <w:t>No login required. The dashboard is read-only and displays pre-analyzed January 2026 data.</w:t>
      </w:r>
    </w:p>
    <w:p/>
    <w:p>
      <w:pPr>
        <w:pStyle w:val="Heading3"/>
      </w:pPr>
      <w:r>
        <w:t>System Requirements</w:t>
      </w:r>
    </w:p>
    <w:p/>
    <w:p>
      <w:r/>
      <w:r>
        <w:rPr>
          <w:b/>
        </w:rPr>
        <w:t>Supported Browsers:</w:t>
      </w:r>
      <w:r/>
    </w:p>
    <w:p>
      <w:pPr>
        <w:pStyle w:val="ListBullet"/>
      </w:pPr>
      <w:r>
        <w:t>Chrome 120+</w:t>
      </w:r>
    </w:p>
    <w:p>
      <w:pPr>
        <w:pStyle w:val="ListBullet"/>
      </w:pPr>
      <w:r>
        <w:t>Firefox 121+</w:t>
      </w:r>
    </w:p>
    <w:p>
      <w:pPr>
        <w:pStyle w:val="ListBullet"/>
      </w:pPr>
      <w:r>
        <w:t>Safari 17+</w:t>
      </w:r>
    </w:p>
    <w:p>
      <w:pPr>
        <w:pStyle w:val="ListBullet"/>
      </w:pPr>
      <w:r>
        <w:t>Edge 120+</w:t>
      </w:r>
    </w:p>
    <w:p/>
    <w:p>
      <w:r/>
      <w:r>
        <w:rPr>
          <w:b/>
        </w:rPr>
        <w:t>Minimum Screen Resolution:</w:t>
      </w:r>
      <w:r>
        <w:t xml:space="preserve"> 375px width (mobile) to 1920px+ (desktop)</w:t>
      </w:r>
    </w:p>
    <w:p/>
    <w:p>
      <w:r/>
      <w:r>
        <w:rPr>
          <w:b/>
        </w:rPr>
        <w:t>Internet Connection:</w:t>
      </w:r>
      <w:r>
        <w:t xml:space="preserve"> Required for initial load; data cached in browser after first visit.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Dashboard Overview</w:t>
      </w:r>
    </w:p>
    <w:p/>
    <w:p>
      <w:pPr>
        <w:pStyle w:val="Heading3"/>
      </w:pPr>
      <w:r>
        <w:t>Navigation</w:t>
      </w:r>
    </w:p>
    <w:p/>
    <w:p>
      <w:r>
        <w:t>The sidebar (desktop) or hamburger menu (mobile) provides access to five main pages:</w:t>
      </w:r>
    </w:p>
    <w:p/>
    <w:p>
      <w:pPr>
        <w:pStyle w:val="ListNumber"/>
      </w:pPr>
      <w:r>
        <w:t>**Dashboard** — Overview with key metrics</w:t>
      </w:r>
    </w:p>
    <w:p>
      <w:pPr>
        <w:pStyle w:val="ListNumber"/>
      </w:pPr>
      <w:r>
        <w:t>**Time Series** — Hourly forecast vs actual comparison</w:t>
      </w:r>
    </w:p>
    <w:p>
      <w:pPr>
        <w:pStyle w:val="ListNumber"/>
      </w:pPr>
      <w:r>
        <w:t>**Accuracy Analysis** — Detailed accuracy breakdown</w:t>
      </w:r>
    </w:p>
    <w:p>
      <w:pPr>
        <w:pStyle w:val="ListNumber"/>
      </w:pPr>
      <w:r>
        <w:t>**Procurement Insights** — Actionable intelligence for buyers</w:t>
      </w:r>
    </w:p>
    <w:p>
      <w:pPr>
        <w:pStyle w:val="ListNumber"/>
      </w:pPr>
      <w:r>
        <w:t>**Data Transparency** — Methodology and data sources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Page-by-Page Guide</w:t>
      </w:r>
    </w:p>
    <w:p/>
    <w:p>
      <w:pPr>
        <w:pStyle w:val="Heading3"/>
      </w:pPr>
      <w:r>
        <w:t>1. Dashboard (Home)</w:t>
      </w:r>
    </w:p>
    <w:p/>
    <w:p>
      <w:r/>
      <w:r>
        <w:rPr>
          <w:b/>
        </w:rPr>
        <w:t>Purpose:</w:t>
      </w:r>
      <w:r>
        <w:t xml:space="preserve"> Quick snapshot of overall forecast performance for January 2026.</w:t>
      </w:r>
    </w:p>
    <w:p/>
    <w:p>
      <w:pPr>
        <w:pStyle w:val="Heading4"/>
      </w:pPr>
      <w:r>
        <w:t>KPI Cards (2×3 Grid)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means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Typical range</w:t>
            </w:r>
          </w:p>
        </w:tc>
      </w:tr>
      <w:tr>
        <w:tc>
          <w:tcPr>
            <w:tcW w:type="dxa" w:w="2880"/>
          </w:tcPr>
          <w:p>
            <w:r>
              <w:t>**Average Actual Wind**</w:t>
            </w:r>
          </w:p>
        </w:tc>
        <w:tc>
          <w:tcPr>
            <w:tcW w:type="dxa" w:w="2880"/>
          </w:tcPr>
          <w:p>
            <w:r>
              <w:t>Mean actual wind generation across all 744 hours</w:t>
            </w:r>
          </w:p>
        </w:tc>
        <w:tc>
          <w:tcPr>
            <w:tcW w:type="dxa" w:w="2880"/>
          </w:tcPr>
          <w:p>
            <w:r>
              <w:t>10,000–16,000 MW</w:t>
            </w:r>
          </w:p>
        </w:tc>
      </w:tr>
      <w:tr>
        <w:tc>
          <w:tcPr>
            <w:tcW w:type="dxa" w:w="2880"/>
          </w:tcPr>
          <w:p>
            <w:r>
              <w:t>**Average Forecast Wind**</w:t>
            </w:r>
          </w:p>
        </w:tc>
        <w:tc>
          <w:tcPr>
            <w:tcW w:type="dxa" w:w="2880"/>
          </w:tcPr>
          <w:p>
            <w:r>
              <w:t>Mean forecast wind generation across all 744 hours</w:t>
            </w:r>
          </w:p>
        </w:tc>
        <w:tc>
          <w:tcPr>
            <w:tcW w:type="dxa" w:w="2880"/>
          </w:tcPr>
          <w:p>
            <w:r>
              <w:t>10,000–16,000 MW</w:t>
            </w:r>
          </w:p>
        </w:tc>
      </w:tr>
      <w:tr>
        <w:tc>
          <w:tcPr>
            <w:tcW w:type="dxa" w:w="2880"/>
          </w:tcPr>
          <w:p>
            <w:r>
              <w:t>**MAE (Mean Absolute Error)**</w:t>
            </w:r>
          </w:p>
        </w:tc>
        <w:tc>
          <w:tcPr>
            <w:tcW w:type="dxa" w:w="2880"/>
          </w:tcPr>
          <w:p>
            <w:r>
              <w:t>Average magnitude of forecast errors, ignoring direction</w:t>
            </w:r>
          </w:p>
        </w:tc>
        <w:tc>
          <w:tcPr>
            <w:tcW w:type="dxa" w:w="2880"/>
          </w:tcPr>
          <w:p>
            <w:r>
              <w:t>500–1,500 MW</w:t>
            </w:r>
          </w:p>
        </w:tc>
      </w:tr>
      <w:tr>
        <w:tc>
          <w:tcPr>
            <w:tcW w:type="dxa" w:w="2880"/>
          </w:tcPr>
          <w:p>
            <w:r>
              <w:t>**RMSE (Root Mean Square Error)**</w:t>
            </w:r>
          </w:p>
        </w:tc>
        <w:tc>
          <w:tcPr>
            <w:tcW w:type="dxa" w:w="2880"/>
          </w:tcPr>
          <w:p>
            <w:r>
              <w:t>Average error with larger penalties for big misses</w:t>
            </w:r>
          </w:p>
        </w:tc>
        <w:tc>
          <w:tcPr>
            <w:tcW w:type="dxa" w:w="2880"/>
          </w:tcPr>
          <w:p>
            <w:r>
              <w:t>700–2,000 MW</w:t>
            </w:r>
          </w:p>
        </w:tc>
      </w:tr>
      <w:tr>
        <w:tc>
          <w:tcPr>
            <w:tcW w:type="dxa" w:w="2880"/>
          </w:tcPr>
          <w:p>
            <w:r>
              <w:t>**Bias (Mean Error)**</w:t>
            </w:r>
          </w:p>
        </w:tc>
        <w:tc>
          <w:tcPr>
            <w:tcW w:type="dxa" w:w="2880"/>
          </w:tcPr>
          <w:p>
            <w:r>
              <w:t>Systematic over/under-forecasting tendency</w:t>
            </w:r>
          </w:p>
        </w:tc>
        <w:tc>
          <w:tcPr>
            <w:tcW w:type="dxa" w:w="2880"/>
          </w:tcPr>
          <w:p>
            <w:r>
              <w:t>-500 to +500 MW</w:t>
            </w:r>
          </w:p>
        </w:tc>
      </w:tr>
      <w:tr>
        <w:tc>
          <w:tcPr>
            <w:tcW w:type="dxa" w:w="2880"/>
          </w:tcPr>
          <w:p>
            <w:r>
              <w:t>**Data Completeness**</w:t>
            </w:r>
          </w:p>
        </w:tc>
        <w:tc>
          <w:tcPr>
            <w:tcW w:type="dxa" w:w="2880"/>
          </w:tcPr>
          <w:p>
            <w:r>
              <w:t>% of expected hourly pairs present</w:t>
            </w:r>
          </w:p>
        </w:tc>
        <w:tc>
          <w:tcPr>
            <w:tcW w:type="dxa" w:w="2880"/>
          </w:tcPr>
          <w:p>
            <w:r>
              <w:t>Target: 100%</w:t>
            </w:r>
          </w:p>
        </w:tc>
      </w:tr>
    </w:tbl>
    <w:p/>
    <w:p/>
    <w:p>
      <w:r/>
      <w:r>
        <w:rPr>
          <w:b/>
        </w:rPr>
        <w:t>Interpretation Tips:</w:t>
      </w:r>
      <w:r/>
    </w:p>
    <w:p>
      <w:pPr>
        <w:pStyle w:val="ListBullet"/>
      </w:pPr>
      <w:r>
        <w:t>**Positive Bias:** Forecasts tend to over-predict (expect more wind than materializes)</w:t>
      </w:r>
    </w:p>
    <w:p>
      <w:pPr>
        <w:pStyle w:val="ListBullet"/>
      </w:pPr>
      <w:r>
        <w:t>**Negative Bias:** Forecasts tend to under-predict (actual wind exceeds forecast)</w:t>
      </w:r>
    </w:p>
    <w:p>
      <w:pPr>
        <w:pStyle w:val="ListBullet"/>
      </w:pPr>
      <w:r>
        <w:t>**RMSE &gt; MAE:** Indicates presence of large outlier errors</w:t>
      </w:r>
    </w:p>
    <w:p>
      <w:pPr>
        <w:pStyle w:val="ListBullet"/>
      </w:pPr>
      <w:r>
        <w:t>**MAE &lt; 10% of avg actual:** Generally considered acceptable accuracy</w:t>
      </w:r>
    </w:p>
    <w:p/>
    <w:p>
      <w:pPr>
        <w:pStyle w:val="Heading4"/>
      </w:pPr>
      <w:r>
        <w:t>Loading States</w:t>
      </w:r>
    </w:p>
    <w:p>
      <w:pPr>
        <w:pStyle w:val="ListBullet"/>
      </w:pPr>
      <w:r>
        <w:t>**Skeleton cards:** Data is being fetched (first visit only, ~2-3 seconds)</w:t>
      </w:r>
    </w:p>
    <w:p>
      <w:pPr>
        <w:pStyle w:val="ListBullet"/>
      </w:pPr>
      <w:r>
        <w:t>**After first load:** Data cached in browser; subsequent visits instant</w:t>
      </w:r>
    </w:p>
    <w:p/>
    <w:p>
      <w:r>
        <w:t>____________________________________________________________</w:t>
      </w:r>
    </w:p>
    <w:p/>
    <w:p>
      <w:pPr>
        <w:pStyle w:val="Heading3"/>
      </w:pPr>
      <w:r>
        <w:t>2. Time Series Page</w:t>
      </w:r>
    </w:p>
    <w:p/>
    <w:p>
      <w:r/>
      <w:r>
        <w:rPr>
          <w:b/>
        </w:rPr>
        <w:t>Purpose:</w:t>
      </w:r>
      <w:r>
        <w:t xml:space="preserve"> Visualize hourly forecast vs actual wind generation over time.</w:t>
      </w:r>
    </w:p>
    <w:p/>
    <w:p>
      <w:pPr>
        <w:pStyle w:val="Heading4"/>
      </w:pPr>
      <w:r>
        <w:t>Main Chart</w:t>
      </w:r>
    </w:p>
    <w:p/>
    <w:p>
      <w:r/>
      <w:r>
        <w:rPr>
          <w:b/>
        </w:rPr>
        <w:t>Chart Elements:</w:t>
      </w:r>
      <w:r/>
    </w:p>
    <w:p>
      <w:pPr>
        <w:pStyle w:val="ListBullet"/>
      </w:pPr>
      <w:r>
        <w:t>**Blue dashed line:** Forecast wind generation (WINDFOR, published D-1 before 09:00 UTC)</w:t>
      </w:r>
    </w:p>
    <w:p>
      <w:pPr>
        <w:pStyle w:val="ListBullet"/>
      </w:pPr>
      <w:r>
        <w:t>**Green solid line:** Actual wind generation (FUELHH, half-hourly averaged to hourly)</w:t>
      </w:r>
    </w:p>
    <w:p>
      <w:pPr>
        <w:pStyle w:val="ListBullet"/>
      </w:pPr>
      <w:r>
        <w:t>**Red shaded area:** Forecast error (difference between forecast and actual)</w:t>
      </w:r>
    </w:p>
    <w:p/>
    <w:p>
      <w:r/>
      <w:r>
        <w:rPr>
          <w:b/>
        </w:rPr>
        <w:t>Interactions:</w:t>
      </w:r>
      <w:r/>
    </w:p>
    <w:p>
      <w:pPr>
        <w:pStyle w:val="ListBullet"/>
      </w:pPr>
      <w:r>
        <w:t>**Hover:** Tooltip shows exact hour, forecast (MW), actual (MW), error (MW)</w:t>
      </w:r>
    </w:p>
    <w:p>
      <w:pPr>
        <w:pStyle w:val="ListBullet"/>
      </w:pPr>
      <w:r>
        <w:t>**Brush (zoom bar):** Drag to select date range, zoom into specific period</w:t>
      </w:r>
    </w:p>
    <w:p>
      <w:pPr>
        <w:pStyle w:val="ListBullet"/>
      </w:pPr>
      <w:r>
        <w:t>**Keyboard:** Arrow keys navigate when brush is focused</w:t>
      </w:r>
    </w:p>
    <w:p/>
    <w:p>
      <w:pPr>
        <w:pStyle w:val="Heading4"/>
      </w:pPr>
      <w:r>
        <w:t>Date Selector (Future Enhancement)</w:t>
      </w:r>
    </w:p>
    <w:p>
      <w:r>
        <w:t>Currently shows full January 2026. Filter by date range planned for future release.</w:t>
      </w:r>
    </w:p>
    <w:p/>
    <w:p>
      <w:pPr>
        <w:pStyle w:val="Heading4"/>
      </w:pPr>
      <w:r>
        <w:t>Chart Tips</w:t>
      </w:r>
    </w:p>
    <w:p>
      <w:pPr>
        <w:pStyle w:val="ListBullet"/>
      </w:pPr>
      <w:r>
        <w:t>**Wide red area:** Large forecast errors</w:t>
      </w:r>
    </w:p>
    <w:p>
      <w:pPr>
        <w:pStyle w:val="ListBullet"/>
      </w:pPr>
      <w:r>
        <w:t>**Blue above green:** Over-forecast (expected more wind than occurred)</w:t>
      </w:r>
    </w:p>
    <w:p>
      <w:pPr>
        <w:pStyle w:val="ListBullet"/>
      </w:pPr>
      <w:r>
        <w:t>**Green above blue:** Under-forecast (actual wind exceeded forecast)</w:t>
      </w:r>
    </w:p>
    <w:p>
      <w:pPr>
        <w:pStyle w:val="ListBullet"/>
      </w:pPr>
      <w:r>
        <w:t>**Parallel lines:** Accurate forecasting period</w:t>
      </w:r>
    </w:p>
    <w:p/>
    <w:p>
      <w:r>
        <w:t>____________________________________________________________</w:t>
      </w:r>
    </w:p>
    <w:p/>
    <w:p>
      <w:pPr>
        <w:pStyle w:val="Heading3"/>
      </w:pPr>
      <w:r>
        <w:t>3. Accuracy Analysis Page</w:t>
      </w:r>
    </w:p>
    <w:p/>
    <w:p>
      <w:r/>
      <w:r>
        <w:rPr>
          <w:b/>
        </w:rPr>
        <w:t>Purpose:</w:t>
      </w:r>
      <w:r>
        <w:t xml:space="preserve"> Deep dive into forecast error patterns and trends.</w:t>
      </w:r>
    </w:p>
    <w:p/>
    <w:p>
      <w:pPr>
        <w:pStyle w:val="Heading4"/>
      </w:pPr>
      <w:r>
        <w:t>Overall Metrics Card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Formula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Interpretation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**MAE**</w:t>
            </w:r>
          </w:p>
        </w:tc>
        <w:tc>
          <w:tcPr>
            <w:tcW w:type="dxa" w:w="1728"/>
          </w:tcPr>
          <w:p>
            <w:r>
              <w:t>mean(\</w:t>
            </w:r>
          </w:p>
        </w:tc>
        <w:tc>
          <w:tcPr>
            <w:tcW w:type="dxa" w:w="1728"/>
          </w:tcPr>
          <w:p>
            <w:r>
              <w:t>forecast - actual\</w:t>
            </w:r>
          </w:p>
        </w:tc>
        <w:tc>
          <w:tcPr>
            <w:tcW w:type="dxa" w:w="1728"/>
          </w:tcPr>
          <w:p>
            <w:r>
              <w:t>)</w:t>
            </w:r>
          </w:p>
        </w:tc>
        <w:tc>
          <w:tcPr>
            <w:tcW w:type="dxa" w:w="1728"/>
          </w:tcPr>
          <w:p>
            <w:r>
              <w:t>Average error magnitude in MW</w:t>
            </w:r>
          </w:p>
        </w:tc>
      </w:tr>
      <w:tr>
        <w:tc>
          <w:tcPr>
            <w:tcW w:type="dxa" w:w="1728"/>
          </w:tcPr>
          <w:p>
            <w:r>
              <w:t>**RMSE**</w:t>
            </w:r>
          </w:p>
        </w:tc>
        <w:tc>
          <w:tcPr>
            <w:tcW w:type="dxa" w:w="1728"/>
          </w:tcPr>
          <w:p>
            <w:r>
              <w:t>sqrt(mean((forecast - actual)²))</w:t>
            </w:r>
          </w:p>
        </w:tc>
        <w:tc>
          <w:tcPr>
            <w:tcW w:type="dxa" w:w="1728"/>
          </w:tcPr>
          <w:p>
            <w:r>
              <w:t>Error magnitude with outlier penalty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**MAPE**</w:t>
            </w:r>
          </w:p>
        </w:tc>
        <w:tc>
          <w:tcPr>
            <w:tcW w:type="dxa" w:w="1728"/>
          </w:tcPr>
          <w:p>
            <w:r>
              <w:t>mean(\</w:t>
            </w:r>
          </w:p>
        </w:tc>
        <w:tc>
          <w:tcPr>
            <w:tcW w:type="dxa" w:w="1728"/>
          </w:tcPr>
          <w:p>
            <w:r>
              <w:t>error\</w:t>
            </w:r>
          </w:p>
        </w:tc>
        <w:tc>
          <w:tcPr>
            <w:tcW w:type="dxa" w:w="1728"/>
          </w:tcPr>
          <w:p>
            <w:r>
              <w:t>/ actual) × 100%</w:t>
            </w:r>
          </w:p>
        </w:tc>
        <w:tc>
          <w:tcPr>
            <w:tcW w:type="dxa" w:w="1728"/>
          </w:tcPr>
          <w:p>
            <w:r>
              <w:t>Percentage error (excludes near-zero actuals)</w:t>
            </w:r>
          </w:p>
        </w:tc>
      </w:tr>
      <w:tr>
        <w:tc>
          <w:tcPr>
            <w:tcW w:type="dxa" w:w="1728"/>
          </w:tcPr>
          <w:p>
            <w:r>
              <w:t>**Bias**</w:t>
            </w:r>
          </w:p>
        </w:tc>
        <w:tc>
          <w:tcPr>
            <w:tcW w:type="dxa" w:w="1728"/>
          </w:tcPr>
          <w:p>
            <w:r>
              <w:t>mean(forecast - actual)</w:t>
            </w:r>
          </w:p>
        </w:tc>
        <w:tc>
          <w:tcPr>
            <w:tcW w:type="dxa" w:w="1728"/>
          </w:tcPr>
          <w:p>
            <w:r>
              <w:t>Directional tendency (+ = over-forecast)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**Max Over-forecast**</w:t>
            </w:r>
          </w:p>
        </w:tc>
        <w:tc>
          <w:tcPr>
            <w:tcW w:type="dxa" w:w="1728"/>
          </w:tcPr>
          <w:p>
            <w:r>
              <w:t>max(forecast - actual)</w:t>
            </w:r>
          </w:p>
        </w:tc>
        <w:tc>
          <w:tcPr>
            <w:tcW w:type="dxa" w:w="1728"/>
          </w:tcPr>
          <w:p>
            <w:r>
              <w:t>Largest single over-prediction (MW)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**Max Under-forecast**</w:t>
            </w:r>
          </w:p>
        </w:tc>
        <w:tc>
          <w:tcPr>
            <w:tcW w:type="dxa" w:w="1728"/>
          </w:tcPr>
          <w:p>
            <w:r>
              <w:t>min(forecast - actual)</w:t>
            </w:r>
          </w:p>
        </w:tc>
        <w:tc>
          <w:tcPr>
            <w:tcW w:type="dxa" w:w="1728"/>
          </w:tcPr>
          <w:p>
            <w:r>
              <w:t>Largest single under-prediction (MW)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**Correlation**</w:t>
            </w:r>
          </w:p>
        </w:tc>
        <w:tc>
          <w:tcPr>
            <w:tcW w:type="dxa" w:w="1728"/>
          </w:tcPr>
          <w:p>
            <w:r>
              <w:t>Pearson r</w:t>
            </w:r>
          </w:p>
        </w:tc>
        <w:tc>
          <w:tcPr>
            <w:tcW w:type="dxa" w:w="1728"/>
          </w:tcPr>
          <w:p>
            <w:r>
              <w:t>Strength of linear relationship (0–1)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/>
    <w:p>
      <w:r/>
      <w:r>
        <w:rPr>
          <w:b/>
        </w:rPr>
        <w:t>Reading Correlation:</w:t>
      </w:r>
      <w:r/>
    </w:p>
    <w:p>
      <w:pPr>
        <w:pStyle w:val="ListBullet"/>
      </w:pPr>
      <w:r>
        <w:t>**0.95–1.0:** Excellent agreement</w:t>
      </w:r>
    </w:p>
    <w:p>
      <w:pPr>
        <w:pStyle w:val="ListBullet"/>
      </w:pPr>
      <w:r>
        <w:t>**0.85–0.95:** Good agreement</w:t>
      </w:r>
    </w:p>
    <w:p>
      <w:pPr>
        <w:pStyle w:val="ListBullet"/>
      </w:pPr>
      <w:r>
        <w:t>**0.70–0.85:** Moderate agreement</w:t>
      </w:r>
    </w:p>
    <w:p>
      <w:pPr>
        <w:pStyle w:val="ListBullet"/>
      </w:pPr>
      <w:r>
        <w:t>**&lt;0.70:** Weak agreement (rare for wind forecasts)</w:t>
      </w:r>
    </w:p>
    <w:p/>
    <w:p>
      <w:pPr>
        <w:pStyle w:val="Heading4"/>
      </w:pPr>
      <w:r>
        <w:t>Daily Metrics Table</w:t>
      </w:r>
    </w:p>
    <w:p/>
    <w:p>
      <w:r/>
      <w:r>
        <w:rPr>
          <w:b/>
        </w:rPr>
        <w:t>Columns:</w:t>
      </w:r>
      <w:r/>
    </w:p>
    <w:p>
      <w:pPr>
        <w:pStyle w:val="ListBullet"/>
      </w:pPr>
      <w:r>
        <w:t>**Date:** Delivery date (YYYY-MM-DD)</w:t>
      </w:r>
    </w:p>
    <w:p>
      <w:pPr>
        <w:pStyle w:val="ListBullet"/>
      </w:pPr>
      <w:r>
        <w:t>**MAE (MW):** Daily mean absolute error</w:t>
      </w:r>
    </w:p>
    <w:p>
      <w:pPr>
        <w:pStyle w:val="ListBullet"/>
      </w:pPr>
      <w:r>
        <w:t>**RMSE (MW):** Daily root mean square error</w:t>
      </w:r>
    </w:p>
    <w:p>
      <w:pPr>
        <w:pStyle w:val="ListBullet"/>
      </w:pPr>
      <w:r>
        <w:t>**Bias (MW):** Daily bias (+ over, - under)</w:t>
      </w:r>
    </w:p>
    <w:p>
      <w:pPr>
        <w:pStyle w:val="ListBullet"/>
      </w:pPr>
      <w:r>
        <w:t>**Paired Hours:** Number of hours with both forecast and actual (target: 24)</w:t>
      </w:r>
    </w:p>
    <w:p/>
    <w:p>
      <w:r/>
      <w:r>
        <w:rPr>
          <w:b/>
        </w:rPr>
        <w:t>Sorting:</w:t>
      </w:r>
      <w:r>
        <w:t xml:space="preserve"> Click column headers to sort ascending/descending.</w:t>
      </w:r>
    </w:p>
    <w:p/>
    <w:p>
      <w:r/>
      <w:r>
        <w:rPr>
          <w:b/>
        </w:rPr>
        <w:t>Use Cases:</w:t>
      </w:r>
      <w:r/>
    </w:p>
    <w:p>
      <w:pPr>
        <w:pStyle w:val="ListBullet"/>
      </w:pPr>
      <w:r>
        <w:t>**Identify worst days:** Sort by MAE descending to find days with largest errors</w:t>
      </w:r>
    </w:p>
    <w:p>
      <w:pPr>
        <w:pStyle w:val="ListBullet"/>
      </w:pPr>
      <w:r>
        <w:t>**Detect patterns:** Sort by date to see temporal trends</w:t>
      </w:r>
    </w:p>
    <w:p>
      <w:pPr>
        <w:pStyle w:val="ListBullet"/>
      </w:pPr>
      <w:r>
        <w:t>**Validate completeness:** Check "Paired Hours" column for missing data</w:t>
      </w:r>
    </w:p>
    <w:p/>
    <w:p>
      <w:pPr>
        <w:pStyle w:val="Heading4"/>
      </w:pPr>
      <w:r>
        <w:t>Error Distribution Histogram</w:t>
      </w:r>
    </w:p>
    <w:p/>
    <w:p>
      <w:r/>
      <w:r>
        <w:rPr>
          <w:b/>
        </w:rPr>
        <w:t>X-axis:</w:t>
      </w:r>
      <w:r>
        <w:t xml:space="preserve"> Error bins (e.g., -3000 to -2500 MW, -2500 to -2000 MW, ...)</w:t>
      </w:r>
    </w:p>
    <w:p>
      <w:r/>
      <w:r>
        <w:rPr>
          <w:b/>
        </w:rPr>
        <w:t>Y-axis:</w:t>
      </w:r>
      <w:r>
        <w:t xml:space="preserve"> Count of hours in each bin</w:t>
      </w:r>
    </w:p>
    <w:p>
      <w:r/>
      <w:r>
        <w:rPr>
          <w:b/>
        </w:rPr>
        <w:t>Bin width:</w:t>
      </w:r>
      <w:r>
        <w:t xml:space="preserve"> 500 MW (configurable via API parameter)</w:t>
      </w:r>
    </w:p>
    <w:p/>
    <w:p>
      <w:r/>
      <w:r>
        <w:rPr>
          <w:b/>
        </w:rPr>
        <w:t>What to look for:</w:t>
      </w:r>
      <w:r/>
    </w:p>
    <w:p>
      <w:pPr>
        <w:pStyle w:val="ListBullet"/>
      </w:pPr>
      <w:r>
        <w:t>**Centered at zero:** Unbiased forecasts</w:t>
      </w:r>
    </w:p>
    <w:p>
      <w:pPr>
        <w:pStyle w:val="ListBullet"/>
      </w:pPr>
      <w:r>
        <w:t>**Skewed right:** Tendency to over-forecast</w:t>
      </w:r>
    </w:p>
    <w:p>
      <w:pPr>
        <w:pStyle w:val="ListBullet"/>
      </w:pPr>
      <w:r>
        <w:t>**Skewed left:** Tendency to under-forecast</w:t>
      </w:r>
    </w:p>
    <w:p>
      <w:pPr>
        <w:pStyle w:val="ListBullet"/>
      </w:pPr>
      <w:r>
        <w:t>**Wide spread:** High variability in errors</w:t>
      </w:r>
    </w:p>
    <w:p>
      <w:pPr>
        <w:pStyle w:val="ListBullet"/>
      </w:pPr>
      <w:r>
        <w:t>**Narrow peak:** Consistent accuracy</w:t>
      </w:r>
    </w:p>
    <w:p/>
    <w:p>
      <w:r>
        <w:t>____________________________________________________________</w:t>
      </w:r>
    </w:p>
    <w:p/>
    <w:p>
      <w:pPr>
        <w:pStyle w:val="Heading3"/>
      </w:pPr>
      <w:r>
        <w:t>4. Procurement Insights Page</w:t>
      </w:r>
    </w:p>
    <w:p/>
    <w:p>
      <w:r/>
      <w:r>
        <w:rPr>
          <w:b/>
        </w:rPr>
        <w:t>Purpose:</w:t>
      </w:r>
      <w:r>
        <w:t xml:space="preserve"> Translate accuracy metrics into actionable intelligence for day-ahead purchasing.</w:t>
      </w:r>
    </w:p>
    <w:p/>
    <w:p>
      <w:pPr>
        <w:pStyle w:val="Heading4"/>
      </w:pPr>
      <w:r>
        <w:t>Over/Under-Forecast Analysis</w:t>
      </w:r>
    </w:p>
    <w:p/>
    <w:p>
      <w:r/>
      <w:r>
        <w:rPr>
          <w:b/>
        </w:rPr>
        <w:t>Positive Bias (Over-Forecast):</w:t>
      </w:r>
      <w:r/>
    </w:p>
    <w:p>
      <w:pPr>
        <w:pStyle w:val="ListBullet"/>
      </w:pPr>
      <w:r>
        <w:t>Forecasts predict more wind than actually generated</w:t>
      </w:r>
    </w:p>
    <w:p>
      <w:pPr>
        <w:pStyle w:val="ListBullet"/>
      </w:pPr>
      <w:r>
        <w:t>**Risk:** Buyers may purchase insufficient traditional generation, relying on wind that doesn't materialize</w:t>
      </w:r>
    </w:p>
    <w:p>
      <w:pPr>
        <w:pStyle w:val="ListBullet"/>
      </w:pPr>
      <w:r>
        <w:t>**Mitigation:** Add safety margin when forecasts predict high wind</w:t>
      </w:r>
    </w:p>
    <w:p/>
    <w:p>
      <w:r/>
      <w:r>
        <w:rPr>
          <w:b/>
        </w:rPr>
        <w:t>Negative Bias (Under-Forecast):</w:t>
      </w:r>
      <w:r/>
    </w:p>
    <w:p>
      <w:pPr>
        <w:pStyle w:val="ListBullet"/>
      </w:pPr>
      <w:r>
        <w:t>Forecasts predict less wind than actually generated</w:t>
      </w:r>
    </w:p>
    <w:p>
      <w:pPr>
        <w:pStyle w:val="ListBullet"/>
      </w:pPr>
      <w:r>
        <w:t>**Risk:** Buyers may over-procure traditional generation, leading to excess costs</w:t>
      </w:r>
    </w:p>
    <w:p>
      <w:pPr>
        <w:pStyle w:val="ListBullet"/>
      </w:pPr>
      <w:r>
        <w:t>**Mitigation:** Reduce traditional generation purchases when forecasts are conservative</w:t>
      </w:r>
    </w:p>
    <w:p/>
    <w:p>
      <w:r/>
      <w:r>
        <w:rPr>
          <w:b/>
        </w:rPr>
        <w:t>Zero Bias:</w:t>
      </w:r>
      <w:r/>
    </w:p>
    <w:p>
      <w:pPr>
        <w:pStyle w:val="ListBullet"/>
      </w:pPr>
      <w:r>
        <w:t>Errors cancel out over time</w:t>
      </w:r>
    </w:p>
    <w:p>
      <w:pPr>
        <w:pStyle w:val="ListBullet"/>
      </w:pPr>
      <w:r>
        <w:t>Individual hours may still have large errors (check RMSE)</w:t>
      </w:r>
    </w:p>
    <w:p/>
    <w:p>
      <w:pPr>
        <w:pStyle w:val="Heading4"/>
      </w:pPr>
      <w:r>
        <w:t>Top Error Days</w:t>
      </w:r>
    </w:p>
    <w:p/>
    <w:p>
      <w:r/>
      <w:r>
        <w:rPr>
          <w:b/>
        </w:rPr>
        <w:t>Table:</w:t>
      </w:r>
      <w:r>
        <w:t xml:space="preserve"> 5 days with largest MAE, sorted descending.</w:t>
      </w:r>
    </w:p>
    <w:p/>
    <w:p>
      <w:r/>
      <w:r>
        <w:rPr>
          <w:b/>
        </w:rPr>
        <w:t>Use for:</w:t>
      </w:r>
      <w:r/>
    </w:p>
    <w:p>
      <w:pPr>
        <w:pStyle w:val="ListBullet"/>
      </w:pPr>
      <w:r>
        <w:t>Post-event analysis: What caused large errors on these dates?</w:t>
      </w:r>
    </w:p>
    <w:p>
      <w:pPr>
        <w:pStyle w:val="ListBullet"/>
      </w:pPr>
      <w:r>
        <w:t>Pattern recognition: Do errors cluster on certain weekdays or weather conditions?</w:t>
      </w:r>
    </w:p>
    <w:p>
      <w:pPr>
        <w:pStyle w:val="ListBullet"/>
      </w:pPr>
      <w:r>
        <w:t>Trading review: Did procurement decisions account for forecast uncertainty?</w:t>
      </w:r>
    </w:p>
    <w:p/>
    <w:p>
      <w:pPr>
        <w:pStyle w:val="Heading4"/>
      </w:pPr>
      <w:r>
        <w:t>Risk Assessment</w:t>
      </w:r>
    </w:p>
    <w:p/>
    <w:p>
      <w:r/>
      <w:r>
        <w:rPr>
          <w:b/>
        </w:rPr>
        <w:t>RMSE Interpretation:</w:t>
      </w:r>
      <w:r/>
    </w:p>
    <w:p>
      <w:pPr>
        <w:pStyle w:val="ListBullet"/>
      </w:pPr>
      <w:r>
        <w:t>**&lt;800 MW:** Low risk, forecasts reliable for day-ahead purchasing</w:t>
      </w:r>
    </w:p>
    <w:p>
      <w:pPr>
        <w:pStyle w:val="ListBullet"/>
      </w:pPr>
      <w:r>
        <w:t>**800–1,200 MW:** Moderate risk, add 10-15% buffer to wind positions</w:t>
      </w:r>
    </w:p>
    <w:p>
      <w:pPr>
        <w:pStyle w:val="ListBullet"/>
      </w:pPr>
      <w:r>
        <w:t>**&gt;1,200 MW:** High risk, consider reducing wind reliance or hedging</w:t>
      </w:r>
    </w:p>
    <w:p/>
    <w:p>
      <w:r/>
      <w:r>
        <w:rPr>
          <w:b/>
        </w:rPr>
        <w:t>Caveats (displayed on page):</w:t>
      </w:r>
      <w:r/>
    </w:p>
    <w:p>
      <w:pPr>
        <w:pStyle w:val="ListBullet"/>
      </w:pPr>
      <w:r>
        <w:t>Historical data only; not predictive of future accuracy</w:t>
      </w:r>
    </w:p>
    <w:p>
      <w:pPr>
        <w:pStyle w:val="ListBullet"/>
      </w:pPr>
      <w:r>
        <w:t>January wind patterns may differ from other months</w:t>
      </w:r>
    </w:p>
    <w:p>
      <w:pPr>
        <w:pStyle w:val="ListBullet"/>
      </w:pPr>
      <w:r>
        <w:t>External factors (weather events, grid constraints) not accounted for</w:t>
      </w:r>
    </w:p>
    <w:p>
      <w:pPr>
        <w:pStyle w:val="ListBullet"/>
      </w:pPr>
      <w:r>
        <w:t>Professional trading advice recommended for actual purchasing decisions</w:t>
      </w:r>
    </w:p>
    <w:p/>
    <w:p>
      <w:r>
        <w:t>____________________________________________________________</w:t>
      </w:r>
    </w:p>
    <w:p/>
    <w:p>
      <w:pPr>
        <w:pStyle w:val="Heading3"/>
      </w:pPr>
      <w:r>
        <w:t>5. Data Transparency Page</w:t>
      </w:r>
    </w:p>
    <w:p/>
    <w:p>
      <w:r/>
      <w:r>
        <w:rPr>
          <w:b/>
        </w:rPr>
        <w:t>Purpose:</w:t>
      </w:r>
      <w:r>
        <w:t xml:space="preserve"> Understand data sources, methodology, and limitations.</w:t>
      </w:r>
    </w:p>
    <w:p/>
    <w:p>
      <w:pPr>
        <w:pStyle w:val="Heading4"/>
      </w:pPr>
      <w:r>
        <w:t>Sections (Accordion Format)</w:t>
      </w:r>
    </w:p>
    <w:p/>
    <w:p>
      <w:r/>
      <w:r>
        <w:rPr>
          <w:b/>
        </w:rPr>
        <w:t>1. Data Sources</w:t>
      </w:r>
      <w:r/>
    </w:p>
    <w:p>
      <w:pPr>
        <w:pStyle w:val="ListBullet"/>
      </w:pPr>
      <w:r>
        <w:t>FUELHH (Actuals): Half-hourly wind generation from Elexon BMRS</w:t>
      </w:r>
    </w:p>
    <w:p>
      <w:pPr>
        <w:pStyle w:val="ListBullet"/>
      </w:pPr>
      <w:r>
        <w:t>WINDFOR (Forecasts): Hourly wind forecasts from Elexon BMRS</w:t>
      </w:r>
    </w:p>
    <w:p>
      <w:pPr>
        <w:pStyle w:val="ListBullet"/>
      </w:pPr>
      <w:r>
        <w:t>API base URL: https://data.elexon.co.uk/bmrs/api/v1</w:t>
      </w:r>
    </w:p>
    <w:p/>
    <w:p>
      <w:r/>
      <w:r>
        <w:rPr>
          <w:b/>
        </w:rPr>
        <w:t>2. Resolution Mismatch</w:t>
      </w:r>
      <w:r/>
    </w:p>
    <w:p>
      <w:pPr>
        <w:pStyle w:val="ListBullet"/>
      </w:pPr>
      <w:r>
        <w:t>WINDFOR: Hourly (60 min)</w:t>
      </w:r>
    </w:p>
    <w:p>
      <w:pPr>
        <w:pStyle w:val="ListBullet"/>
      </w:pPr>
      <w:r>
        <w:t>FUELHH: Half-hourly (30 min)</w:t>
      </w:r>
    </w:p>
    <w:p>
      <w:pPr>
        <w:pStyle w:val="ListBullet"/>
      </w:pPr>
      <w:r>
        <w:t>**Solution:** Two consecutive FUELHH half-hours averaged into one hourly value</w:t>
      </w:r>
    </w:p>
    <w:p/>
    <w:p>
      <w:r/>
      <w:r>
        <w:rPr>
          <w:b/>
        </w:rPr>
        <w:t>3. Forecast Cutoff Logic</w:t>
      </w:r>
      <w:r/>
    </w:p>
    <w:p>
      <w:pPr>
        <w:pStyle w:val="ListBullet"/>
      </w:pPr>
      <w:r>
        <w:t>**Cutoff:** 09:00 UTC on D-1 (day before delivery)</w:t>
      </w:r>
    </w:p>
    <w:p>
      <w:pPr>
        <w:pStyle w:val="ListBullet"/>
      </w:pPr>
      <w:r>
        <w:t>**Rationale:** N2EX GB day-ahead auction closes ~09:00–09:30 UTC</w:t>
      </w:r>
    </w:p>
    <w:p>
      <w:pPr>
        <w:pStyle w:val="ListBullet"/>
      </w:pPr>
      <w:r>
        <w:t>**Selection:** Latest WINDFOR run published before cutoff for delivery date</w:t>
      </w:r>
    </w:p>
    <w:p/>
    <w:p>
      <w:r/>
      <w:r>
        <w:rPr>
          <w:b/>
        </w:rPr>
        <w:t>4. Accuracy Metrics</w:t>
      </w:r>
      <w:r/>
    </w:p>
    <w:p>
      <w:pPr>
        <w:pStyle w:val="ListBullet"/>
      </w:pPr>
      <w:r>
        <w:t>Formulas for MAE, RMSE, MAPE, Bias, Correlation</w:t>
      </w:r>
    </w:p>
    <w:p>
      <w:pPr>
        <w:pStyle w:val="ListBullet"/>
      </w:pPr>
      <w:r>
        <w:t>Why MAPE excludes near-zero actuals</w:t>
      </w:r>
    </w:p>
    <w:p>
      <w:pPr>
        <w:pStyle w:val="ListBullet"/>
      </w:pPr>
      <w:r>
        <w:t>Interpretation guidance</w:t>
      </w:r>
    </w:p>
    <w:p/>
    <w:p>
      <w:r/>
      <w:r>
        <w:rPr>
          <w:b/>
        </w:rPr>
        <w:t>5. Data Completeness</w:t>
      </w:r>
      <w:r/>
    </w:p>
    <w:p>
      <w:pPr>
        <w:pStyle w:val="ListBullet"/>
      </w:pPr>
      <w:r>
        <w:t>744 expected hours (31 days × 24 hours)</w:t>
      </w:r>
    </w:p>
    <w:p>
      <w:pPr>
        <w:pStyle w:val="ListBullet"/>
      </w:pPr>
      <w:r>
        <w:t>Actual pairs present</w:t>
      </w:r>
    </w:p>
    <w:p>
      <w:pPr>
        <w:pStyle w:val="ListBullet"/>
      </w:pPr>
      <w:r>
        <w:t>% completeness</w:t>
      </w:r>
    </w:p>
    <w:p/>
    <w:p>
      <w:r/>
      <w:r>
        <w:rPr>
          <w:b/>
        </w:rPr>
        <w:t>6. Caveats and Limitations</w:t>
      </w:r>
      <w:r/>
    </w:p>
    <w:p>
      <w:pPr>
        <w:pStyle w:val="ListBullet"/>
      </w:pPr>
      <w:r>
        <w:t>January 2026 only (not representative of other months)</w:t>
      </w:r>
    </w:p>
    <w:p>
      <w:pPr>
        <w:pStyle w:val="ListBullet"/>
      </w:pPr>
      <w:r>
        <w:t>Historical analysis (not real-time)</w:t>
      </w:r>
    </w:p>
    <w:p>
      <w:pPr>
        <w:pStyle w:val="ListBullet"/>
      </w:pPr>
      <w:r>
        <w:t>No external factors (weather, grid events)</w:t>
      </w:r>
    </w:p>
    <w:p>
      <w:pPr>
        <w:pStyle w:val="ListBullet"/>
      </w:pPr>
      <w:r>
        <w:t>Forecast accuracy may vary by forecaster or model version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Common Tasks</w:t>
      </w:r>
    </w:p>
    <w:p/>
    <w:p>
      <w:pPr>
        <w:pStyle w:val="Heading3"/>
      </w:pPr>
      <w:r>
        <w:t>Task 1: Check Overall Accuracy</w:t>
      </w:r>
    </w:p>
    <w:p/>
    <w:p>
      <w:pPr>
        <w:pStyle w:val="ListNumber"/>
      </w:pPr>
      <w:r>
        <w:t>Go to **Dashboard** page</w:t>
      </w:r>
    </w:p>
    <w:p>
      <w:pPr>
        <w:pStyle w:val="ListNumber"/>
      </w:pPr>
      <w:r>
        <w:t>Look at **MAE** and **RMSE** cards</w:t>
      </w:r>
    </w:p>
    <w:p>
      <w:pPr>
        <w:pStyle w:val="ListNumber"/>
      </w:pPr>
      <w:r>
        <w:t>Compare to typical ranges (MAE 500–1,500 MW, RMSE 700–2,000 MW)</w:t>
      </w:r>
    </w:p>
    <w:p>
      <w:pPr>
        <w:pStyle w:val="ListNumber"/>
      </w:pPr>
      <w:r>
        <w:t>Check **Bias** card:</w:t>
      </w:r>
    </w:p>
    <w:p>
      <w:pPr>
        <w:pStyle w:val="ListBullet"/>
      </w:pPr>
      <w:r>
        <w:t>Positive → over-forecasts</w:t>
      </w:r>
    </w:p>
    <w:p>
      <w:pPr>
        <w:pStyle w:val="ListBullet"/>
      </w:pPr>
      <w:r>
        <w:t>Negative → under-forecasts</w:t>
      </w:r>
    </w:p>
    <w:p>
      <w:pPr>
        <w:pStyle w:val="ListBullet"/>
      </w:pPr>
      <w:r>
        <w:t>Near zero → balanced</w:t>
      </w:r>
    </w:p>
    <w:p/>
    <w:p>
      <w:pPr>
        <w:pStyle w:val="Heading3"/>
      </w:pPr>
      <w:r>
        <w:t>Task 2: Find Worst Forecast Days</w:t>
      </w:r>
    </w:p>
    <w:p/>
    <w:p>
      <w:pPr>
        <w:pStyle w:val="ListNumber"/>
      </w:pPr>
      <w:r>
        <w:t>Go to **Accuracy Analysis** page</w:t>
      </w:r>
    </w:p>
    <w:p>
      <w:pPr>
        <w:pStyle w:val="ListNumber"/>
      </w:pPr>
      <w:r>
        <w:t>Scroll to **Daily Metrics Table**</w:t>
      </w:r>
    </w:p>
    <w:p>
      <w:pPr>
        <w:pStyle w:val="ListNumber"/>
      </w:pPr>
      <w:r>
        <w:t>Click **MAE** column header to sort descending</w:t>
      </w:r>
    </w:p>
    <w:p>
      <w:pPr>
        <w:pStyle w:val="ListNumber"/>
      </w:pPr>
      <w:r>
        <w:t>Top rows show days with largest errors</w:t>
      </w:r>
    </w:p>
    <w:p>
      <w:pPr>
        <w:pStyle w:val="ListNumber"/>
      </w:pPr>
      <w:r>
        <w:t>Note these dates for further investigation</w:t>
      </w:r>
    </w:p>
    <w:p/>
    <w:p>
      <w:pPr>
        <w:pStyle w:val="Heading3"/>
      </w:pPr>
      <w:r>
        <w:t>Task 3: Visualize a Specific Period</w:t>
      </w:r>
    </w:p>
    <w:p/>
    <w:p>
      <w:pPr>
        <w:pStyle w:val="ListNumber"/>
      </w:pPr>
      <w:r>
        <w:t>Go to **Time Series** page</w:t>
      </w:r>
    </w:p>
    <w:p>
      <w:pPr>
        <w:pStyle w:val="ListNumber"/>
      </w:pPr>
      <w:r>
        <w:t>Use **Brush** (zoom bar below main chart) to select date range</w:t>
      </w:r>
    </w:p>
    <w:p>
      <w:pPr>
        <w:pStyle w:val="ListNumber"/>
      </w:pPr>
      <w:r>
        <w:t>Drag left/right handles to adjust range</w:t>
      </w:r>
    </w:p>
    <w:p>
      <w:pPr>
        <w:pStyle w:val="ListNumber"/>
      </w:pPr>
      <w:r>
        <w:t>Main chart zooms to selected period</w:t>
      </w:r>
    </w:p>
    <w:p>
      <w:pPr>
        <w:pStyle w:val="ListNumber"/>
      </w:pPr>
      <w:r>
        <w:t>Hover over lines to see exact values</w:t>
      </w:r>
    </w:p>
    <w:p/>
    <w:p>
      <w:pPr>
        <w:pStyle w:val="Heading3"/>
      </w:pPr>
      <w:r>
        <w:t>Task 4: Understand Forecast Selection</w:t>
      </w:r>
    </w:p>
    <w:p/>
    <w:p>
      <w:pPr>
        <w:pStyle w:val="ListNumber"/>
      </w:pPr>
      <w:r>
        <w:t>Go to **Data Transparency** page</w:t>
      </w:r>
    </w:p>
    <w:p>
      <w:pPr>
        <w:pStyle w:val="ListNumber"/>
      </w:pPr>
      <w:r>
        <w:t>Expand **Forecast Cutoff Logic** accordion</w:t>
      </w:r>
    </w:p>
    <w:p>
      <w:pPr>
        <w:pStyle w:val="ListNumber"/>
      </w:pPr>
      <w:r>
        <w:t>Read cutoff time (09:00 UTC on D-1) and rationale</w:t>
      </w:r>
    </w:p>
    <w:p>
      <w:pPr>
        <w:pStyle w:val="ListNumber"/>
      </w:pPr>
      <w:r>
        <w:t>Example: Jan 15 delivery → forecast selected from Jan 14 before 09:00 UTC</w:t>
      </w:r>
    </w:p>
    <w:p/>
    <w:p>
      <w:pPr>
        <w:pStyle w:val="Heading3"/>
      </w:pPr>
      <w:r>
        <w:t>Task 5: Assess Procurement Risk</w:t>
      </w:r>
    </w:p>
    <w:p/>
    <w:p>
      <w:pPr>
        <w:pStyle w:val="ListNumber"/>
      </w:pPr>
      <w:r>
        <w:t>Go to **Procurement Insights** page</w:t>
      </w:r>
    </w:p>
    <w:p>
      <w:pPr>
        <w:pStyle w:val="ListNumber"/>
      </w:pPr>
      <w:r>
        <w:t>Check **Over/Under-Forecast Analysis** section</w:t>
      </w:r>
    </w:p>
    <w:p>
      <w:pPr>
        <w:pStyle w:val="ListNumber"/>
      </w:pPr>
      <w:r>
        <w:t>Note bias direction (over/under)</w:t>
      </w:r>
    </w:p>
    <w:p>
      <w:pPr>
        <w:pStyle w:val="ListNumber"/>
      </w:pPr>
      <w:r>
        <w:t>Review **Risk Assessment** based on RMSE</w:t>
      </w:r>
    </w:p>
    <w:p>
      <w:pPr>
        <w:pStyle w:val="ListNumber"/>
      </w:pPr>
      <w:r>
        <w:t>Apply recommended buffers to day-ahead purchases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Keyboard Shortcuts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Shortcut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t>`Tab` / `Shift+Tab`</w:t>
            </w:r>
          </w:p>
        </w:tc>
        <w:tc>
          <w:tcPr>
            <w:tcW w:type="dxa" w:w="4320"/>
          </w:tcPr>
          <w:p>
            <w:r>
              <w:t>Navigate between interactive elements</w:t>
            </w:r>
          </w:p>
        </w:tc>
      </w:tr>
      <w:tr>
        <w:tc>
          <w:tcPr>
            <w:tcW w:type="dxa" w:w="4320"/>
          </w:tcPr>
          <w:p>
            <w:r>
              <w:t>`Enter` / `Space`</w:t>
            </w:r>
          </w:p>
        </w:tc>
        <w:tc>
          <w:tcPr>
            <w:tcW w:type="dxa" w:w="4320"/>
          </w:tcPr>
          <w:p>
            <w:r>
              <w:t>Activate buttons and links</w:t>
            </w:r>
          </w:p>
        </w:tc>
      </w:tr>
      <w:tr>
        <w:tc>
          <w:tcPr>
            <w:tcW w:type="dxa" w:w="4320"/>
          </w:tcPr>
          <w:p>
            <w:r>
              <w:t>`Arrow keys`</w:t>
            </w:r>
          </w:p>
        </w:tc>
        <w:tc>
          <w:tcPr>
            <w:tcW w:type="dxa" w:w="4320"/>
          </w:tcPr>
          <w:p>
            <w:r>
              <w:t>Navigate within chart brush</w:t>
            </w:r>
          </w:p>
        </w:tc>
      </w:tr>
      <w:tr>
        <w:tc>
          <w:tcPr>
            <w:tcW w:type="dxa" w:w="4320"/>
          </w:tcPr>
          <w:p>
            <w:r>
              <w:t>`Esc`</w:t>
            </w:r>
          </w:p>
        </w:tc>
        <w:tc>
          <w:tcPr>
            <w:tcW w:type="dxa" w:w="4320"/>
          </w:tcPr>
          <w:p>
            <w:r>
              <w:t>Close modal/dialog (if applicable)</w:t>
            </w:r>
          </w:p>
        </w:tc>
      </w:tr>
    </w:tbl>
    <w:p/>
    <w:p/>
    <w:p>
      <w:r>
        <w:t>____________________________________________________________</w:t>
      </w:r>
    </w:p>
    <w:p/>
    <w:p>
      <w:pPr>
        <w:pStyle w:val="Heading2"/>
      </w:pPr>
      <w:r>
        <w:t>Accessibility Features</w:t>
      </w:r>
    </w:p>
    <w:p/>
    <w:p>
      <w:pPr>
        <w:pStyle w:val="ListBullet"/>
      </w:pPr>
      <w:r>
        <w:t>**High Contrast:** Text meets WCAG AA (4.5:1 minimum)</w:t>
      </w:r>
    </w:p>
    <w:p>
      <w:pPr>
        <w:pStyle w:val="ListBullet"/>
      </w:pPr>
      <w:r>
        <w:t>**Keyboard Navigation:** Full keyboard access to all controls</w:t>
      </w:r>
    </w:p>
    <w:p>
      <w:pPr>
        <w:pStyle w:val="ListBullet"/>
      </w:pPr>
      <w:r>
        <w:t>**Screen Reader Support:** ARIA labels on charts and icons</w:t>
      </w:r>
    </w:p>
    <w:p>
      <w:pPr>
        <w:pStyle w:val="ListBullet"/>
      </w:pPr>
      <w:r>
        <w:t>**Responsive Text:** Supports browser zoom up to 200%</w:t>
      </w:r>
    </w:p>
    <w:p>
      <w:pPr>
        <w:pStyle w:val="ListBullet"/>
      </w:pPr>
      <w:r>
        <w:t>**Color Independence:** Charts use patterns + color (not color alone)</w:t>
      </w:r>
    </w:p>
    <w:p/>
    <w:p>
      <w:r/>
      <w:r>
        <w:rPr>
          <w:b/>
        </w:rPr>
        <w:t>To enable screen reader:</w:t>
      </w:r>
      <w:r/>
    </w:p>
    <w:p>
      <w:pPr>
        <w:pStyle w:val="ListBullet"/>
      </w:pPr>
      <w:r>
        <w:t>Windows: Narrator (Win + Ctrl + Enter)</w:t>
      </w:r>
    </w:p>
    <w:p>
      <w:pPr>
        <w:pStyle w:val="ListBullet"/>
      </w:pPr>
      <w:r>
        <w:t>Mac: VoiceOver (Cmd + F5)</w:t>
      </w:r>
    </w:p>
    <w:p>
      <w:pPr>
        <w:pStyle w:val="ListBullet"/>
      </w:pPr>
      <w:r>
        <w:t>iOS: VoiceOver (Settings &gt; Accessibility)</w:t>
      </w:r>
    </w:p>
    <w:p>
      <w:pPr>
        <w:pStyle w:val="ListBullet"/>
      </w:pPr>
      <w:r>
        <w:t>Android: TalkBack (Settings &gt; Accessibility)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Troubleshooting</w:t>
      </w:r>
    </w:p>
    <w:p/>
    <w:p>
      <w:pPr>
        <w:pStyle w:val="Heading3"/>
      </w:pPr>
      <w:r>
        <w:t>Dashboard not loading</w:t>
      </w:r>
    </w:p>
    <w:p/>
    <w:p>
      <w:r/>
      <w:r>
        <w:rPr>
          <w:b/>
        </w:rPr>
        <w:t>Symptom:</w:t>
      </w:r>
      <w:r>
        <w:t xml:space="preserve"> Blank page or "Network Error"</w:t>
      </w:r>
    </w:p>
    <w:p>
      <w:r/>
      <w:r>
        <w:rPr>
          <w:b/>
        </w:rPr>
        <w:t>Causes:</w:t>
      </w:r>
      <w:r/>
    </w:p>
    <w:p>
      <w:pPr>
        <w:pStyle w:val="ListNumber"/>
      </w:pPr>
      <w:r>
        <w:t>Backend API not running</w:t>
      </w:r>
    </w:p>
    <w:p>
      <w:pPr>
        <w:pStyle w:val="ListNumber"/>
      </w:pPr>
      <w:r>
        <w:t>Browser blocking requests (CORS)</w:t>
      </w:r>
    </w:p>
    <w:p>
      <w:pPr>
        <w:pStyle w:val="ListNumber"/>
      </w:pPr>
      <w:r>
        <w:t>No internet connection</w:t>
      </w:r>
    </w:p>
    <w:p/>
    <w:p>
      <w:r/>
      <w:r>
        <w:rPr>
          <w:b/>
        </w:rPr>
        <w:t>Solutions:</w:t>
      </w:r>
      <w:r/>
    </w:p>
    <w:p>
      <w:pPr>
        <w:pStyle w:val="ListNumber"/>
      </w:pPr>
      <w:r>
        <w:t>Verify backend health: `curl &lt;API_URL&gt;/api/health`</w:t>
      </w:r>
    </w:p>
    <w:p>
      <w:pPr>
        <w:pStyle w:val="ListNumber"/>
      </w:pPr>
      <w:r>
        <w:t>Check browser console (F12) for errors</w:t>
      </w:r>
    </w:p>
    <w:p>
      <w:pPr>
        <w:pStyle w:val="ListNumber"/>
      </w:pPr>
      <w:r>
        <w:t>Refresh page (Ctrl+R / Cmd+R)</w:t>
      </w:r>
    </w:p>
    <w:p>
      <w:pPr>
        <w:pStyle w:val="ListNumber"/>
      </w:pPr>
      <w:r>
        <w:t>Clear browser cache (Ctrl+Shift+Del / Cmd+Shift+Del)</w:t>
      </w:r>
    </w:p>
    <w:p/>
    <w:p>
      <w:pPr>
        <w:pStyle w:val="Heading3"/>
      </w:pPr>
      <w:r>
        <w:t>Charts not rendering</w:t>
      </w:r>
    </w:p>
    <w:p/>
    <w:p>
      <w:r/>
      <w:r>
        <w:rPr>
          <w:b/>
        </w:rPr>
        <w:t>Symptom:</w:t>
      </w:r>
      <w:r>
        <w:t xml:space="preserve"> Chart area empty or shows "Loading..."</w:t>
      </w:r>
    </w:p>
    <w:p>
      <w:r/>
      <w:r>
        <w:rPr>
          <w:b/>
        </w:rPr>
        <w:t>Causes:</w:t>
      </w:r>
      <w:r/>
    </w:p>
    <w:p>
      <w:pPr>
        <w:pStyle w:val="ListNumber"/>
      </w:pPr>
      <w:r>
        <w:t>API returned no data</w:t>
      </w:r>
    </w:p>
    <w:p>
      <w:pPr>
        <w:pStyle w:val="ListNumber"/>
      </w:pPr>
      <w:r>
        <w:t>JavaScript error in browser</w:t>
      </w:r>
    </w:p>
    <w:p>
      <w:pPr>
        <w:pStyle w:val="ListNumber"/>
      </w:pPr>
      <w:r>
        <w:t>Ad blocker interfering</w:t>
      </w:r>
    </w:p>
    <w:p/>
    <w:p>
      <w:r/>
      <w:r>
        <w:rPr>
          <w:b/>
        </w:rPr>
        <w:t>Solutions:</w:t>
      </w:r>
      <w:r/>
    </w:p>
    <w:p>
      <w:pPr>
        <w:pStyle w:val="ListNumber"/>
      </w:pPr>
      <w:r>
        <w:t>Open browser DevTools (F12) &gt; Console tab &gt; check for errors</w:t>
      </w:r>
    </w:p>
    <w:p>
      <w:pPr>
        <w:pStyle w:val="ListNumber"/>
      </w:pPr>
      <w:r>
        <w:t>Disable ad blockers temporarily</w:t>
      </w:r>
    </w:p>
    <w:p>
      <w:pPr>
        <w:pStyle w:val="ListNumber"/>
      </w:pPr>
      <w:r>
        <w:t>Try different browser</w:t>
      </w:r>
    </w:p>
    <w:p/>
    <w:p>
      <w:pPr>
        <w:pStyle w:val="Heading3"/>
      </w:pPr>
      <w:r>
        <w:t>Incorrect data values</w:t>
      </w:r>
    </w:p>
    <w:p/>
    <w:p>
      <w:r/>
      <w:r>
        <w:rPr>
          <w:b/>
        </w:rPr>
        <w:t>Symptom:</w:t>
      </w:r>
      <w:r>
        <w:t xml:space="preserve"> Metrics don't match expected ranges</w:t>
      </w:r>
    </w:p>
    <w:p>
      <w:r/>
      <w:r>
        <w:rPr>
          <w:b/>
        </w:rPr>
        <w:t>Verification:</w:t>
      </w:r>
      <w:r/>
    </w:p>
    <w:p>
      <w:pPr>
        <w:pStyle w:val="ListNumber"/>
      </w:pPr>
      <w:r>
        <w:t>Go to **Data Transparency** page</w:t>
      </w:r>
    </w:p>
    <w:p>
      <w:pPr>
        <w:pStyle w:val="ListNumber"/>
      </w:pPr>
      <w:r>
        <w:t>Check **Data Completeness** (should be 100%)</w:t>
      </w:r>
    </w:p>
    <w:p>
      <w:pPr>
        <w:pStyle w:val="ListNumber"/>
      </w:pPr>
      <w:r>
        <w:t>Verify **Analysis Period** (January 2026)</w:t>
      </w:r>
    </w:p>
    <w:p>
      <w:pPr>
        <w:pStyle w:val="ListNumber"/>
      </w:pPr>
      <w:r>
        <w:t>If completeness &lt; 100%, contact administrator</w:t>
      </w:r>
    </w:p>
    <w:p/>
    <w:p>
      <w:pPr>
        <w:pStyle w:val="Heading3"/>
      </w:pPr>
      <w:r>
        <w:t>Mobile layout issues</w:t>
      </w:r>
    </w:p>
    <w:p/>
    <w:p>
      <w:r/>
      <w:r>
        <w:rPr>
          <w:b/>
        </w:rPr>
        <w:t>Symptom:</w:t>
      </w:r>
      <w:r>
        <w:t xml:space="preserve"> Content cut off or horizontal scroll</w:t>
      </w:r>
    </w:p>
    <w:p>
      <w:r/>
      <w:r>
        <w:rPr>
          <w:b/>
        </w:rPr>
        <w:t>Solutions:</w:t>
      </w:r>
      <w:r/>
    </w:p>
    <w:p>
      <w:pPr>
        <w:pStyle w:val="ListNumber"/>
      </w:pPr>
      <w:r>
        <w:t>Rotate device to portrait orientation</w:t>
      </w:r>
    </w:p>
    <w:p>
      <w:pPr>
        <w:pStyle w:val="ListNumber"/>
      </w:pPr>
      <w:r>
        <w:t>Pinch to zoom out</w:t>
      </w:r>
    </w:p>
    <w:p>
      <w:pPr>
        <w:pStyle w:val="ListNumber"/>
      </w:pPr>
      <w:r>
        <w:t>Use desktop browser for full experience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Export and Reporting (Future Enhancement)</w:t>
      </w:r>
    </w:p>
    <w:p/>
    <w:p>
      <w:r/>
      <w:r>
        <w:rPr>
          <w:b/>
        </w:rPr>
        <w:t>Planned features:</w:t>
      </w:r>
      <w:r/>
    </w:p>
    <w:p>
      <w:pPr>
        <w:pStyle w:val="ListBullet"/>
      </w:pPr>
      <w:r>
        <w:t>Export charts as PNG/SVG</w:t>
      </w:r>
    </w:p>
    <w:p>
      <w:pPr>
        <w:pStyle w:val="ListBullet"/>
      </w:pPr>
      <w:r>
        <w:t>Export daily metrics table as CSV</w:t>
      </w:r>
    </w:p>
    <w:p>
      <w:pPr>
        <w:pStyle w:val="ListBullet"/>
      </w:pPr>
      <w:r>
        <w:t>Generate PDF report</w:t>
      </w:r>
    </w:p>
    <w:p>
      <w:pPr>
        <w:pStyle w:val="ListBullet"/>
      </w:pPr>
      <w:r>
        <w:t>Email scheduled reports</w:t>
      </w:r>
    </w:p>
    <w:p/>
    <w:p>
      <w:r/>
      <w:r>
        <w:rPr>
          <w:b/>
        </w:rPr>
        <w:t>Current workaround:</w:t>
      </w:r>
      <w:r/>
    </w:p>
    <w:p>
      <w:pPr>
        <w:pStyle w:val="ListBullet"/>
      </w:pPr>
      <w:r>
        <w:t>Screenshot charts (Windows: Win+Shift+S, Mac: Cmd+Shift+4)</w:t>
      </w:r>
    </w:p>
    <w:p>
      <w:pPr>
        <w:pStyle w:val="ListBullet"/>
      </w:pPr>
      <w:r>
        <w:t>Copy table data to Excel (select, Ctrl+C, paste)</w:t>
      </w:r>
    </w:p>
    <w:p>
      <w:pPr>
        <w:pStyle w:val="ListBullet"/>
      </w:pPr>
      <w:r>
        <w:t>Use browser print function (Ctrl+P / Cmd+P) for PDF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Data Update Frequency</w:t>
      </w:r>
    </w:p>
    <w:p/>
    <w:p>
      <w:r/>
      <w:r>
        <w:rPr>
          <w:b/>
        </w:rPr>
        <w:t>Current:</w:t>
      </w:r>
      <w:r>
        <w:t xml:space="preserve"> Static historical data (January 2026)</w:t>
      </w:r>
    </w:p>
    <w:p>
      <w:r/>
      <w:r>
        <w:rPr>
          <w:b/>
        </w:rPr>
        <w:t>No automatic updates.</w:t>
      </w:r>
      <w:r>
        <w:t xml:space="preserve"> Dashboard displays pre-computed analysis.</w:t>
      </w:r>
    </w:p>
    <w:p/>
    <w:p>
      <w:r/>
      <w:r>
        <w:rPr>
          <w:b/>
        </w:rPr>
        <w:t>For live data integration:</w:t>
      </w:r>
      <w:r/>
    </w:p>
    <w:p>
      <w:r>
        <w:t>Contact administrator to configure continuous data pipeline.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Browser Storage</w:t>
      </w:r>
    </w:p>
    <w:p/>
    <w:p>
      <w:r/>
      <w:r>
        <w:rPr>
          <w:b/>
        </w:rPr>
        <w:t>LocalStorage usage:</w:t>
      </w:r>
      <w:r/>
    </w:p>
    <w:p>
      <w:pPr>
        <w:pStyle w:val="ListBullet"/>
      </w:pPr>
      <w:r>
        <w:t>TanStack Query cache (&lt; 5 MB)</w:t>
      </w:r>
    </w:p>
    <w:p>
      <w:pPr>
        <w:pStyle w:val="ListBullet"/>
      </w:pPr>
      <w:r>
        <w:t>User preferences (future feature)</w:t>
      </w:r>
    </w:p>
    <w:p/>
    <w:p>
      <w:r/>
      <w:r>
        <w:rPr>
          <w:b/>
        </w:rPr>
        <w:t>To clear storage:</w:t>
      </w:r>
      <w:r/>
    </w:p>
    <w:p>
      <w:pPr>
        <w:pStyle w:val="ListNumber"/>
      </w:pPr>
      <w:r>
        <w:t>Open DevTools (F12)</w:t>
      </w:r>
    </w:p>
    <w:p>
      <w:pPr>
        <w:pStyle w:val="ListNumber"/>
      </w:pPr>
      <w:r>
        <w:t>Application tab &gt; Storage &gt; Local Storage</w:t>
      </w:r>
    </w:p>
    <w:p>
      <w:pPr>
        <w:pStyle w:val="ListNumber"/>
      </w:pPr>
      <w:r>
        <w:t>Right-click domain &gt; Clear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Support</w:t>
      </w:r>
    </w:p>
    <w:p/>
    <w:p>
      <w:pPr>
        <w:pStyle w:val="Heading3"/>
      </w:pPr>
      <w:r>
        <w:t>Self-Service</w:t>
      </w:r>
    </w:p>
    <w:p>
      <w:pPr>
        <w:pStyle w:val="ListNumber"/>
      </w:pPr>
      <w:r>
        <w:t>Check this User Guide</w:t>
      </w:r>
    </w:p>
    <w:p>
      <w:pPr>
        <w:pStyle w:val="ListNumber"/>
      </w:pPr>
      <w:r>
        <w:t>Review **Data Transparency** page in dashboard</w:t>
      </w:r>
    </w:p>
    <w:p>
      <w:pPr>
        <w:pStyle w:val="ListNumber"/>
      </w:pPr>
      <w:r>
        <w:t>Read API documentation: `/docs/API.md`</w:t>
      </w:r>
    </w:p>
    <w:p/>
    <w:p>
      <w:pPr>
        <w:pStyle w:val="Heading3"/>
      </w:pPr>
      <w:r>
        <w:t>Contact</w:t>
      </w:r>
    </w:p>
    <w:p>
      <w:pPr>
        <w:pStyle w:val="ListBullet"/>
      </w:pPr>
      <w:r>
        <w:t>Technical issues: [support email]</w:t>
      </w:r>
    </w:p>
    <w:p>
      <w:pPr>
        <w:pStyle w:val="ListBullet"/>
      </w:pPr>
      <w:r>
        <w:t>Feature requests: [feature request URL]</w:t>
      </w:r>
    </w:p>
    <w:p>
      <w:pPr>
        <w:pStyle w:val="ListBullet"/>
      </w:pPr>
      <w:r>
        <w:t>Data questions: [data team contact]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Glossary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t>**MAE**</w:t>
            </w:r>
          </w:p>
        </w:tc>
        <w:tc>
          <w:tcPr>
            <w:tcW w:type="dxa" w:w="4320"/>
          </w:tcPr>
          <w:p>
            <w:r>
              <w:t>Mean Absolute Error — average magnitude of forecast errors</w:t>
            </w:r>
          </w:p>
        </w:tc>
      </w:tr>
      <w:tr>
        <w:tc>
          <w:tcPr>
            <w:tcW w:type="dxa" w:w="4320"/>
          </w:tcPr>
          <w:p>
            <w:r>
              <w:t>**RMSE**</w:t>
            </w:r>
          </w:p>
        </w:tc>
        <w:tc>
          <w:tcPr>
            <w:tcW w:type="dxa" w:w="4320"/>
          </w:tcPr>
          <w:p>
            <w:r>
              <w:t>Root Mean Square Error — error magnitude with outlier penalty</w:t>
            </w:r>
          </w:p>
        </w:tc>
      </w:tr>
      <w:tr>
        <w:tc>
          <w:tcPr>
            <w:tcW w:type="dxa" w:w="4320"/>
          </w:tcPr>
          <w:p>
            <w:r>
              <w:t>**Bias**</w:t>
            </w:r>
          </w:p>
        </w:tc>
        <w:tc>
          <w:tcPr>
            <w:tcW w:type="dxa" w:w="4320"/>
          </w:tcPr>
          <w:p>
            <w:r>
              <w:t>Systematic over/under-forecasting tendency (+ = over, - = under)</w:t>
            </w:r>
          </w:p>
        </w:tc>
      </w:tr>
      <w:tr>
        <w:tc>
          <w:tcPr>
            <w:tcW w:type="dxa" w:w="4320"/>
          </w:tcPr>
          <w:p>
            <w:r>
              <w:t>**MAPE**</w:t>
            </w:r>
          </w:p>
        </w:tc>
        <w:tc>
          <w:tcPr>
            <w:tcW w:type="dxa" w:w="4320"/>
          </w:tcPr>
          <w:p>
            <w:r>
              <w:t>Mean Absolute Percentage Error — average % error (excludes zero actuals)</w:t>
            </w:r>
          </w:p>
        </w:tc>
      </w:tr>
      <w:tr>
        <w:tc>
          <w:tcPr>
            <w:tcW w:type="dxa" w:w="4320"/>
          </w:tcPr>
          <w:p>
            <w:r>
              <w:t>**FUELHH**</w:t>
            </w:r>
          </w:p>
        </w:tc>
        <w:tc>
          <w:tcPr>
            <w:tcW w:type="dxa" w:w="4320"/>
          </w:tcPr>
          <w:p>
            <w:r>
              <w:t>Elexon dataset: half-hourly actual generation by fuel type</w:t>
            </w:r>
          </w:p>
        </w:tc>
      </w:tr>
      <w:tr>
        <w:tc>
          <w:tcPr>
            <w:tcW w:type="dxa" w:w="4320"/>
          </w:tcPr>
          <w:p>
            <w:r>
              <w:t>**WINDFOR**</w:t>
            </w:r>
          </w:p>
        </w:tc>
        <w:tc>
          <w:tcPr>
            <w:tcW w:type="dxa" w:w="4320"/>
          </w:tcPr>
          <w:p>
            <w:r>
              <w:t>Elexon dataset: hourly wind generation forecasts</w:t>
            </w:r>
          </w:p>
        </w:tc>
      </w:tr>
      <w:tr>
        <w:tc>
          <w:tcPr>
            <w:tcW w:type="dxa" w:w="4320"/>
          </w:tcPr>
          <w:p>
            <w:r>
              <w:t>**D-1 Cutoff**</w:t>
            </w:r>
          </w:p>
        </w:tc>
        <w:tc>
          <w:tcPr>
            <w:tcW w:type="dxa" w:w="4320"/>
          </w:tcPr>
          <w:p>
            <w:r>
              <w:t>Day-ahead cutoff: 09:00 UTC on the day before delivery</w:t>
            </w:r>
          </w:p>
        </w:tc>
      </w:tr>
      <w:tr>
        <w:tc>
          <w:tcPr>
            <w:tcW w:type="dxa" w:w="4320"/>
          </w:tcPr>
          <w:p>
            <w:r>
              <w:t>**Settlement Period**</w:t>
            </w:r>
          </w:p>
        </w:tc>
        <w:tc>
          <w:tcPr>
            <w:tcW w:type="dxa" w:w="4320"/>
          </w:tcPr>
          <w:p>
            <w:r>
              <w:t>30-minute period in GB electricity market (48 per day)</w:t>
            </w:r>
          </w:p>
        </w:tc>
      </w:tr>
      <w:tr>
        <w:tc>
          <w:tcPr>
            <w:tcW w:type="dxa" w:w="4320"/>
          </w:tcPr>
          <w:p>
            <w:r>
              <w:t>**N2EX**</w:t>
            </w:r>
          </w:p>
        </w:tc>
        <w:tc>
          <w:tcPr>
            <w:tcW w:type="dxa" w:w="4320"/>
          </w:tcPr>
          <w:p>
            <w:r>
              <w:t>Nord Pool GB day-ahead auction market</w:t>
            </w:r>
          </w:p>
        </w:tc>
      </w:tr>
      <w:tr>
        <w:tc>
          <w:tcPr>
            <w:tcW w:type="dxa" w:w="4320"/>
          </w:tcPr>
          <w:p>
            <w:r>
              <w:t>**BMRS**</w:t>
            </w:r>
          </w:p>
        </w:tc>
        <w:tc>
          <w:tcPr>
            <w:tcW w:type="dxa" w:w="4320"/>
          </w:tcPr>
          <w:p>
            <w:r>
              <w:t>Balancing Mechanism Reporting Service (Elexon)</w:t>
            </w:r>
          </w:p>
        </w:tc>
      </w:tr>
    </w:tbl>
    <w:p/>
    <w:p/>
    <w:p>
      <w:r>
        <w:t>____________________________________________________________</w:t>
      </w:r>
    </w:p>
    <w:p/>
    <w:p>
      <w:pPr>
        <w:pStyle w:val="Heading2"/>
      </w:pPr>
      <w:r>
        <w:t>Appendix: January 2026 Context</w:t>
      </w:r>
    </w:p>
    <w:p/>
    <w:p>
      <w:r/>
      <w:r>
        <w:rPr>
          <w:b/>
        </w:rPr>
        <w:t>Why January 2026?</w:t>
      </w:r>
      <w:r/>
    </w:p>
    <w:p>
      <w:pPr>
        <w:pStyle w:val="ListBullet"/>
      </w:pPr>
      <w:r>
        <w:t>Representative winter month (high wind season in UK)</w:t>
      </w:r>
    </w:p>
    <w:p>
      <w:pPr>
        <w:pStyle w:val="ListBullet"/>
      </w:pPr>
      <w:r>
        <w:t>Complete dataset available (744/744 hours)</w:t>
      </w:r>
    </w:p>
    <w:p>
      <w:pPr>
        <w:pStyle w:val="ListBullet"/>
      </w:pPr>
      <w:r>
        <w:t>No clock changes (GMT throughout, no BST)</w:t>
      </w:r>
    </w:p>
    <w:p>
      <w:pPr>
        <w:pStyle w:val="ListBullet"/>
      </w:pPr>
      <w:r>
        <w:t>Historical data allows retrospective analysis</w:t>
      </w:r>
    </w:p>
    <w:p/>
    <w:p>
      <w:r/>
      <w:r>
        <w:rPr>
          <w:b/>
        </w:rPr>
        <w:t>January 2026 Wind Patterns:</w:t>
      </w:r>
      <w:r/>
    </w:p>
    <w:p>
      <w:pPr>
        <w:pStyle w:val="ListBullet"/>
      </w:pPr>
      <w:r>
        <w:t>Average actual generation: ~14,600 MW</w:t>
      </w:r>
    </w:p>
    <w:p>
      <w:pPr>
        <w:pStyle w:val="ListBullet"/>
      </w:pPr>
      <w:r>
        <w:t>Range: ~1,000 MW (calm periods) to ~24,000 MW (stormy periods)</w:t>
      </w:r>
    </w:p>
    <w:p>
      <w:pPr>
        <w:pStyle w:val="ListBullet"/>
      </w:pPr>
      <w:r>
        <w:t>Peak wind typically during Atlantic low-pressure systems</w:t>
      </w:r>
    </w:p>
    <w:p>
      <w:pPr>
        <w:pStyle w:val="ListBullet"/>
      </w:pPr>
      <w:r>
        <w:t>Lowest wind during high-pressure (anticyclonic) conditions</w:t>
      </w:r>
    </w:p>
    <w:p/>
    <w:p>
      <w:r/>
      <w:r>
        <w:rPr>
          <w:b/>
        </w:rPr>
        <w:t>Typical January Wind Forecast Accuracy:</w:t>
      </w:r>
      <w:r/>
    </w:p>
    <w:p>
      <w:pPr>
        <w:pStyle w:val="ListBullet"/>
      </w:pPr>
      <w:r>
        <w:t>Industry benchmark MAE: 800–1,200 MW</w:t>
      </w:r>
    </w:p>
    <w:p>
      <w:pPr>
        <w:pStyle w:val="ListBullet"/>
      </w:pPr>
      <w:r>
        <w:t>Good forecasts: MAE &lt; 800 MW</w:t>
      </w:r>
    </w:p>
    <w:p>
      <w:pPr>
        <w:pStyle w:val="ListBullet"/>
      </w:pPr>
      <w:r>
        <w:t>Poor forecasts: MAE &gt; 1,500 MW</w:t>
      </w:r>
    </w:p>
    <w:p>
      <w:pPr>
        <w:pStyle w:val="ListBullet"/>
      </w:pPr>
      <w:r>
        <w:t>This dashboard's results should be compared against these benchmarks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Version History</w:t>
      </w:r>
    </w:p>
    <w:p/>
    <w:p>
      <w:pPr>
        <w:pStyle w:val="ListBullet"/>
      </w:pPr>
      <w:r>
        <w:t>**v1.0** (2026-10-26): Initial release</w:t>
      </w:r>
    </w:p>
    <w:p>
      <w:pPr>
        <w:pStyle w:val="ListBullet"/>
      </w:pPr>
      <w:r>
        <w:t>Dashboard, Time Series, Accuracy Analysis, Procurement Insights, Data Transparency pages</w:t>
      </w:r>
    </w:p>
    <w:p>
      <w:pPr>
        <w:pStyle w:val="ListBullet"/>
      </w:pPr>
      <w:r>
        <w:t>January 2026 data analysis</w:t>
      </w:r>
    </w:p>
    <w:p>
      <w:pPr>
        <w:pStyle w:val="ListBullet"/>
      </w:pPr>
      <w:r>
        <w:t>Static deployment</w:t>
      </w:r>
    </w:p>
    <w:p/>
    <w:p>
      <w:r/>
      <w:r>
        <w:rPr>
          <w:b/>
        </w:rPr>
        <w:t>Planned for v1.1:</w:t>
      </w:r>
      <w:r/>
    </w:p>
    <w:p>
      <w:pPr>
        <w:pStyle w:val="ListBullet"/>
      </w:pPr>
      <w:r>
        <w:t>Date range filters</w:t>
      </w:r>
    </w:p>
    <w:p>
      <w:pPr>
        <w:pStyle w:val="ListBullet"/>
      </w:pPr>
      <w:r>
        <w:t>CSV export</w:t>
      </w:r>
    </w:p>
    <w:p>
      <w:pPr>
        <w:pStyle w:val="ListBullet"/>
      </w:pPr>
      <w:r>
        <w:t>PDF report generation</w:t>
      </w:r>
    </w:p>
    <w:p>
      <w:pPr>
        <w:pStyle w:val="ListBullet"/>
      </w:pPr>
      <w:r>
        <w:t>Comparative analysis (multiple months)</w:t>
      </w:r>
    </w:p>
    <w:p/>
    <w:p>
      <w:r>
        <w:br w:type="page"/>
      </w:r>
    </w:p>
    <w:p>
      <w:pPr>
        <w:pStyle w:val="Heading1"/>
      </w:pPr>
      <w:r>
        <w:t>Glossary</w:t>
      </w:r>
    </w:p>
    <w:p/>
    <w:p>
      <w:pPr>
        <w:pStyle w:val="Heading1"/>
      </w:pPr>
      <w:r>
        <w:rPr>
          <w:color w:val="1E3A8A"/>
        </w:rPr>
        <w:t>Glossary</w:t>
      </w:r>
    </w:p>
    <w:p/>
    <w:p>
      <w:pPr>
        <w:pStyle w:val="Heading2"/>
      </w:pPr>
      <w:r>
        <w:t>Purpose</w:t>
      </w:r>
    </w:p>
    <w:p/>
    <w:p>
      <w:r>
        <w:t>This glossary defines domain-specific terms, acronyms, and technical concepts used throughout the project documentation and dashboard interface.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Energy Market Terms</w:t>
      </w:r>
    </w:p>
    <w:p/>
    <w:p>
      <w:pPr>
        <w:pStyle w:val="Heading3"/>
      </w:pPr>
      <w:r>
        <w:t>Actual Generation</w:t>
      </w:r>
    </w:p>
    <w:p>
      <w:r>
        <w:t>The measured electrical power output from wind turbines, reported by Elexon in the FUELHH dataset. Units: megawatts (MW).</w:t>
      </w:r>
    </w:p>
    <w:p/>
    <w:p>
      <w:pPr>
        <w:pStyle w:val="Heading3"/>
      </w:pPr>
      <w:r>
        <w:t>Balancing Mechanism</w:t>
      </w:r>
    </w:p>
    <w:p>
      <w:r>
        <w:t>The system operated by National Grid ESO to balance electricity supply and demand in real-time across Great Britain.</w:t>
      </w:r>
    </w:p>
    <w:p/>
    <w:p>
      <w:pPr>
        <w:pStyle w:val="Heading3"/>
      </w:pPr>
      <w:r>
        <w:t>BMRS (Balancing Mechanism Reporting Service)</w:t>
      </w:r>
    </w:p>
    <w:p>
      <w:r>
        <w:t>Elexon's public data service providing near-real-time and historical electricity market data for Great Britain. API: https://data.elexon.co.uk/bmrs/api/v1</w:t>
      </w:r>
    </w:p>
    <w:p/>
    <w:p>
      <w:pPr>
        <w:pStyle w:val="Heading3"/>
      </w:pPr>
      <w:r>
        <w:t>BSC (Balancing and Settlement Code)</w:t>
      </w:r>
    </w:p>
    <w:p>
      <w:r>
        <w:t>The legal framework governing electricity balancing and settlement in Great Britain. Administered by Elexon.</w:t>
      </w:r>
    </w:p>
    <w:p/>
    <w:p>
      <w:pPr>
        <w:pStyle w:val="Heading3"/>
      </w:pPr>
      <w:r>
        <w:t>BST (British Summer Time)</w:t>
      </w:r>
    </w:p>
    <w:p>
      <w:r>
        <w:t>UTC+1 timezone used in the UK from last Sunday in March to last Sunday in October. Not applicable to January analysis (GMT applies).</w:t>
      </w:r>
    </w:p>
    <w:p/>
    <w:p>
      <w:pPr>
        <w:pStyle w:val="Heading3"/>
      </w:pPr>
      <w:r>
        <w:t>Curtailment</w:t>
      </w:r>
    </w:p>
    <w:p>
      <w:r>
        <w:t>Intentional reduction of wind generation below available capacity, typically due to grid constraints or negative pricing.</w:t>
      </w:r>
    </w:p>
    <w:p/>
    <w:p>
      <w:pPr>
        <w:pStyle w:val="Heading3"/>
      </w:pPr>
      <w:r>
        <w:t>Day-Ahead Market</w:t>
      </w:r>
    </w:p>
    <w:p>
      <w:r>
        <w:t>Electricity trading market where power is bought and sold for delivery the following day. GB day-ahead auction operated by N2EX (Nord Pool).</w:t>
      </w:r>
    </w:p>
    <w:p/>
    <w:p>
      <w:pPr>
        <w:pStyle w:val="Heading3"/>
      </w:pPr>
      <w:r>
        <w:t>Delivery Date</w:t>
      </w:r>
    </w:p>
    <w:p>
      <w:r>
        <w:t>The calendar date when electricity is physically delivered (generated/consumed). Distinct from trading date.</w:t>
      </w:r>
    </w:p>
    <w:p/>
    <w:p>
      <w:pPr>
        <w:pStyle w:val="Heading3"/>
      </w:pPr>
      <w:r>
        <w:t>D-1 (Day-Ahead)</w:t>
      </w:r>
    </w:p>
    <w:p>
      <w:r>
        <w:t>One day before delivery. Example: For January 15 delivery, D-1 = January 14.</w:t>
      </w:r>
    </w:p>
    <w:p/>
    <w:p>
      <w:pPr>
        <w:pStyle w:val="Heading3"/>
      </w:pPr>
      <w:r>
        <w:t>Elexon</w:t>
      </w:r>
    </w:p>
    <w:p>
      <w:r>
        <w:t>The Balancing and Settlement Code Company Ltd, responsible for balancing and settlement administration in GB electricity market.</w:t>
      </w:r>
    </w:p>
    <w:p/>
    <w:p>
      <w:pPr>
        <w:pStyle w:val="Heading3"/>
      </w:pPr>
      <w:r>
        <w:t>FUELHH Dataset</w:t>
      </w:r>
    </w:p>
    <w:p>
      <w:r>
        <w:t>Elexon BMRS dataset providing actual half-hourly generation by fuel type (WIND, CCGT, NUCLEAR, etc.). "FUEL" = fuel type, "HH" = half-hourly.</w:t>
      </w:r>
    </w:p>
    <w:p/>
    <w:p>
      <w:pPr>
        <w:pStyle w:val="Heading3"/>
      </w:pPr>
      <w:r>
        <w:t>Gate Closure</w:t>
      </w:r>
    </w:p>
    <w:p>
      <w:r>
        <w:t>Deadline for submitting day-ahead market bids. N2EX GB day-ahead gate closure: ~09:00–09:30 UK time on D-1.</w:t>
      </w:r>
    </w:p>
    <w:p/>
    <w:p>
      <w:pPr>
        <w:pStyle w:val="Heading3"/>
      </w:pPr>
      <w:r>
        <w:t>GMT (Greenwich Mean Time)</w:t>
      </w:r>
    </w:p>
    <w:p>
      <w:r>
        <w:t>UTC+0 timezone used in UK during winter months (late October to late March). January is always GMT.</w:t>
      </w:r>
    </w:p>
    <w:p/>
    <w:p>
      <w:pPr>
        <w:pStyle w:val="Heading3"/>
      </w:pPr>
      <w:r>
        <w:t>National Grid ESO (Electricity System Operator)</w:t>
      </w:r>
    </w:p>
    <w:p>
      <w:r>
        <w:t>Company responsible for operating GB electricity transmission system and balancing supply/demand.</w:t>
      </w:r>
    </w:p>
    <w:p/>
    <w:p>
      <w:pPr>
        <w:pStyle w:val="Heading3"/>
      </w:pPr>
      <w:r>
        <w:t>N2EX (Nord Pool Exchange)</w:t>
      </w:r>
    </w:p>
    <w:p>
      <w:r>
        <w:t>GB day-ahead and intraday electricity auction market, operated by Nord Pool.</w:t>
      </w:r>
    </w:p>
    <w:p/>
    <w:p>
      <w:pPr>
        <w:pStyle w:val="Heading3"/>
      </w:pPr>
      <w:r>
        <w:t>Procurement</w:t>
      </w:r>
    </w:p>
    <w:p>
      <w:r>
        <w:t>The process of purchasing electricity in wholesale markets to meet demand forecasts.</w:t>
      </w:r>
    </w:p>
    <w:p/>
    <w:p>
      <w:pPr>
        <w:pStyle w:val="Heading3"/>
      </w:pPr>
      <w:r>
        <w:t>Settlement Period (SP)</w:t>
      </w:r>
    </w:p>
    <w:p>
      <w:r>
        <w:t>30-minute time block used in GB electricity settlement. 48 settlement periods per day (numbered 1-48). SP1 = 00:00–00:30, SP48 = 23:30–24:00.</w:t>
      </w:r>
    </w:p>
    <w:p/>
    <w:p>
      <w:pPr>
        <w:pStyle w:val="Heading3"/>
      </w:pPr>
      <w:r>
        <w:t>Settlement Date</w:t>
      </w:r>
    </w:p>
    <w:p>
      <w:r>
        <w:t>The GB market date for settlement purposes. May differ from calendar date near midnight due to settlement period numbering.</w:t>
      </w:r>
    </w:p>
    <w:p/>
    <w:p>
      <w:pPr>
        <w:pStyle w:val="Heading3"/>
      </w:pPr>
      <w:r>
        <w:t>Transmission Constraints</w:t>
      </w:r>
    </w:p>
    <w:p>
      <w:r>
        <w:t>Grid infrastructure limitations that restrict power flow, sometimes requiring curtailment of generation.</w:t>
      </w:r>
    </w:p>
    <w:p/>
    <w:p>
      <w:pPr>
        <w:pStyle w:val="Heading3"/>
      </w:pPr>
      <w:r>
        <w:t>WINDFOR Dataset</w:t>
      </w:r>
    </w:p>
    <w:p>
      <w:r>
        <w:t>Elexon BMRS dataset providing hourly wind generation forecasts. "WIND" = wind generation, "FOR" = forecast.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Forecast Accuracy Terms</w:t>
      </w:r>
    </w:p>
    <w:p/>
    <w:p>
      <w:pPr>
        <w:pStyle w:val="Heading3"/>
      </w:pPr>
      <w:r>
        <w:t>Absolute Error</w:t>
      </w:r>
    </w:p>
    <w:p>
      <w:r>
        <w:t xml:space="preserve">The magnitude of forecast error, ignoring direction. Formula: </w:t>
      </w:r>
      <w:r>
        <w:rPr>
          <w:rFonts w:ascii="Courier New" w:hAnsi="Courier New"/>
          <w:color w:val="DC2626"/>
          <w:sz w:val="20"/>
        </w:rPr>
        <w:t>|forecast - actual|</w:t>
      </w:r>
      <w:r>
        <w:t>. Units: MW.</w:t>
      </w:r>
    </w:p>
    <w:p/>
    <w:p>
      <w:pPr>
        <w:pStyle w:val="Heading3"/>
      </w:pPr>
      <w:r>
        <w:t>Bias (Mean Error)</w:t>
      </w:r>
    </w:p>
    <w:p>
      <w:r>
        <w:t>The average signed error across all forecasts. Indicates systematic over/under-forecasting tendency.</w:t>
      </w:r>
    </w:p>
    <w:p>
      <w:pPr>
        <w:pStyle w:val="ListBullet"/>
      </w:pPr>
      <w:r>
        <w:t>**Positive bias:** Forecasts tend to over-predict (forecast &gt; actual on average)</w:t>
      </w:r>
    </w:p>
    <w:p>
      <w:pPr>
        <w:pStyle w:val="ListBullet"/>
      </w:pPr>
      <w:r>
        <w:t>**Negative bias:** Forecasts tend to under-predict (forecast &lt; actual on average)</w:t>
      </w:r>
    </w:p>
    <w:p>
      <w:pPr>
        <w:pStyle w:val="ListBullet"/>
      </w:pPr>
      <w:r>
        <w:t>**Zero bias:** No systematic tendency (errors cancel out)</w:t>
      </w:r>
    </w:p>
    <w:p>
      <w:r>
        <w:t>Units: MW.</w:t>
      </w:r>
    </w:p>
    <w:p/>
    <w:p>
      <w:pPr>
        <w:pStyle w:val="Heading3"/>
      </w:pPr>
      <w:r>
        <w:t>Correlation (Pearson)</w:t>
      </w:r>
    </w:p>
    <w:p>
      <w:r>
        <w:t>Statistical measure of linear relationship strength between forecast and actual values. Range: -1 to +1. Values near +1 indicate strong positive relationship.</w:t>
      </w:r>
    </w:p>
    <w:p/>
    <w:p>
      <w:pPr>
        <w:pStyle w:val="Heading3"/>
      </w:pPr>
      <w:r>
        <w:t>Cutoff Time</w:t>
      </w:r>
    </w:p>
    <w:p>
      <w:r>
        <w:t>Deadline by which a forecast must be published to be operationally useful. This project uses 09:00 UTC on D-1.</w:t>
      </w:r>
    </w:p>
    <w:p/>
    <w:p>
      <w:pPr>
        <w:pStyle w:val="Heading3"/>
      </w:pPr>
      <w:r>
        <w:t>Error</w:t>
      </w:r>
    </w:p>
    <w:p>
      <w:r>
        <w:t xml:space="preserve">The difference between forecast and actual. Formula: </w:t>
      </w:r>
      <w:r>
        <w:rPr>
          <w:rFonts w:ascii="Courier New" w:hAnsi="Courier New"/>
          <w:color w:val="DC2626"/>
          <w:sz w:val="20"/>
        </w:rPr>
        <w:t>forecast - actual</w:t>
      </w:r>
      <w:r>
        <w:t>.</w:t>
      </w:r>
    </w:p>
    <w:p>
      <w:pPr>
        <w:pStyle w:val="ListBullet"/>
      </w:pPr>
      <w:r>
        <w:t>**Positive error:** Over-forecast (forecast &gt; actual)</w:t>
      </w:r>
    </w:p>
    <w:p>
      <w:pPr>
        <w:pStyle w:val="ListBullet"/>
      </w:pPr>
      <w:r>
        <w:t>**Negative error:** Under-forecast (forecast &lt; actual)</w:t>
      </w:r>
    </w:p>
    <w:p>
      <w:r>
        <w:t>Units: MW.</w:t>
      </w:r>
    </w:p>
    <w:p/>
    <w:p>
      <w:pPr>
        <w:pStyle w:val="Heading3"/>
      </w:pPr>
      <w:r>
        <w:t>Forecast Horizon</w:t>
      </w:r>
    </w:p>
    <w:p>
      <w:r>
        <w:t>Time interval between forecast publication and target delivery time. This project analyzes day-ahead horizon (~15-33 hours ahead).</w:t>
      </w:r>
    </w:p>
    <w:p/>
    <w:p>
      <w:pPr>
        <w:pStyle w:val="Heading3"/>
      </w:pPr>
      <w:r>
        <w:t>Forecast Run</w:t>
      </w:r>
    </w:p>
    <w:p>
      <w:r>
        <w:t>A complete set of forecasts issued at a single publication time. WINDFOR typically has 6-10 runs per day, each covering ~72 hours ahead.</w:t>
      </w:r>
    </w:p>
    <w:p/>
    <w:p>
      <w:pPr>
        <w:pStyle w:val="Heading3"/>
      </w:pPr>
      <w:r>
        <w:t>MAE (Mean Absolute Error)</w:t>
      </w:r>
    </w:p>
    <w:p>
      <w:r>
        <w:t xml:space="preserve">Average magnitude of forecast errors. Formula: </w:t>
      </w:r>
      <w:r>
        <w:rPr>
          <w:rFonts w:ascii="Courier New" w:hAnsi="Courier New"/>
          <w:color w:val="DC2626"/>
          <w:sz w:val="20"/>
        </w:rPr>
        <w:t>(1/N) × Σ|forecast - actual|</w:t>
      </w:r>
      <w:r>
        <w:t>. Primary accuracy metric. Units: MW.</w:t>
      </w:r>
    </w:p>
    <w:p/>
    <w:p>
      <w:pPr>
        <w:pStyle w:val="Heading3"/>
      </w:pPr>
      <w:r>
        <w:t>MAPE (Mean Absolute Percentage Error)</w:t>
      </w:r>
    </w:p>
    <w:p>
      <w:r>
        <w:t xml:space="preserve">Average forecast error as percentage of actual generation. Formula: </w:t>
      </w:r>
      <w:r>
        <w:rPr>
          <w:rFonts w:ascii="Courier New" w:hAnsi="Courier New"/>
          <w:color w:val="DC2626"/>
          <w:sz w:val="20"/>
        </w:rPr>
        <w:t>(100/N) × Σ(|forecast - actual| / actual)</w:t>
      </w:r>
      <w:r>
        <w:t>. Sensitive to low actuals; this project excludes hours where actual ≤1 MW. Units: %.</w:t>
      </w:r>
    </w:p>
    <w:p/>
    <w:p>
      <w:pPr>
        <w:pStyle w:val="Heading3"/>
      </w:pPr>
      <w:r>
        <w:t>Over-Forecast</w:t>
      </w:r>
    </w:p>
    <w:p>
      <w:r>
        <w:t>Forecast value exceeds actual generation (positive error). Example: Forecast 15,000 MW, actual 14,000 MW → over-forecast by 1,000 MW.</w:t>
      </w:r>
    </w:p>
    <w:p/>
    <w:p>
      <w:pPr>
        <w:pStyle w:val="Heading3"/>
      </w:pPr>
      <w:r>
        <w:t>Paired Hours</w:t>
      </w:r>
    </w:p>
    <w:p>
      <w:r>
        <w:t>Hours where both forecast and actual generation data exist. Only paired hours included in accuracy metrics. January 2026: 744 paired hours (100% completeness).</w:t>
      </w:r>
    </w:p>
    <w:p/>
    <w:p>
      <w:pPr>
        <w:pStyle w:val="Heading3"/>
      </w:pPr>
      <w:r>
        <w:t>Publish Time</w:t>
      </w:r>
    </w:p>
    <w:p>
      <w:r>
        <w:t>UTC timestamp when a forecast was issued/published. Distinct from forecast target time (startTime).</w:t>
      </w:r>
    </w:p>
    <w:p/>
    <w:p>
      <w:pPr>
        <w:pStyle w:val="Heading3"/>
      </w:pPr>
      <w:r>
        <w:t>RMSE (Root Mean Square Error)</w:t>
      </w:r>
    </w:p>
    <w:p>
      <w:r>
        <w:t xml:space="preserve">Average forecast error with heavier penalty for large errors. Formula: </w:t>
      </w:r>
      <w:r>
        <w:rPr>
          <w:rFonts w:ascii="Courier New" w:hAnsi="Courier New"/>
          <w:color w:val="DC2626"/>
          <w:sz w:val="20"/>
        </w:rPr>
        <w:t>sqrt((1/N) × Σ(forecast - actual)²)</w:t>
      </w:r>
      <w:r>
        <w:t>. RMSE ≥ MAE always. Units: MW.</w:t>
      </w:r>
    </w:p>
    <w:p/>
    <w:p>
      <w:pPr>
        <w:pStyle w:val="Heading3"/>
      </w:pPr>
      <w:r>
        <w:t>Squared Error</w:t>
      </w:r>
    </w:p>
    <w:p>
      <w:r>
        <w:t>Error raised to power of 2. Used in RMSE calculation. Penalizes large errors more than MAE.</w:t>
      </w:r>
    </w:p>
    <w:p/>
    <w:p>
      <w:pPr>
        <w:pStyle w:val="Heading3"/>
      </w:pPr>
      <w:r>
        <w:t>Under-Forecast</w:t>
      </w:r>
    </w:p>
    <w:p>
      <w:r>
        <w:t>Forecast value below actual generation (negative error). Example: Forecast 14,000 MW, actual 15,000 MW → under-forecast by 1,000 MW.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Technical Terms</w:t>
      </w:r>
    </w:p>
    <w:p/>
    <w:p>
      <w:pPr>
        <w:pStyle w:val="Heading3"/>
      </w:pPr>
      <w:r>
        <w:t>API (Application Programming Interface)</w:t>
      </w:r>
    </w:p>
    <w:p>
      <w:r>
        <w:t>Software interface for accessing data or services programmatically. This project uses Elexon BMRS API (REST).</w:t>
      </w:r>
    </w:p>
    <w:p/>
    <w:p>
      <w:pPr>
        <w:pStyle w:val="Heading3"/>
      </w:pPr>
      <w:r>
        <w:t>CORS (Cross-Origin Resource Sharing)</w:t>
      </w:r>
    </w:p>
    <w:p>
      <w:r>
        <w:t>Browser security mechanism controlling which domains can access API resources. Backend must allow frontend domain in CORS configuration.</w:t>
      </w:r>
    </w:p>
    <w:p/>
    <w:p>
      <w:pPr>
        <w:pStyle w:val="Heading3"/>
      </w:pPr>
      <w:r>
        <w:t>Cache</w:t>
      </w:r>
    </w:p>
    <w:p>
      <w:r>
        <w:t>Temporary storage of data to improve performance and reduce API calls. This project uses two-tier cache: in-memory + file-based JSON.</w:t>
      </w:r>
    </w:p>
    <w:p/>
    <w:p>
      <w:pPr>
        <w:pStyle w:val="Heading3"/>
      </w:pPr>
      <w:r>
        <w:t>CSV (Comma-Separated Values)</w:t>
      </w:r>
    </w:p>
    <w:p>
      <w:r>
        <w:t>Plain-text file format for tabular data. Used for exporting data tables.</w:t>
      </w:r>
    </w:p>
    <w:p/>
    <w:p>
      <w:pPr>
        <w:pStyle w:val="Heading3"/>
      </w:pPr>
      <w:r>
        <w:t>Dashboard</w:t>
      </w:r>
    </w:p>
    <w:p>
      <w:r>
        <w:t>Web interface displaying key metrics and visualizations in a single view.</w:t>
      </w:r>
    </w:p>
    <w:p/>
    <w:p>
      <w:pPr>
        <w:pStyle w:val="Heading3"/>
      </w:pPr>
      <w:r>
        <w:t>Docker</w:t>
      </w:r>
    </w:p>
    <w:p>
      <w:r>
        <w:t>Platform for containerizing applications. This project uses Docker Compose to orchestrate backend + frontend services.</w:t>
      </w:r>
    </w:p>
    <w:p/>
    <w:p>
      <w:pPr>
        <w:pStyle w:val="Heading3"/>
      </w:pPr>
      <w:r>
        <w:t>Endpoint</w:t>
      </w:r>
    </w:p>
    <w:p>
      <w:r>
        <w:t xml:space="preserve">Specific URL path in an API. Example: </w:t>
      </w:r>
      <w:r>
        <w:rPr>
          <w:rFonts w:ascii="Courier New" w:hAnsi="Courier New"/>
          <w:color w:val="DC2626"/>
          <w:sz w:val="20"/>
        </w:rPr>
        <w:t>/api/health</w:t>
      </w:r>
      <w:r>
        <w:t xml:space="preserve">, </w:t>
      </w:r>
      <w:r>
        <w:rPr>
          <w:rFonts w:ascii="Courier New" w:hAnsi="Courier New"/>
          <w:color w:val="DC2626"/>
          <w:sz w:val="20"/>
        </w:rPr>
        <w:t>/api/dashboard/kpis</w:t>
      </w:r>
      <w:r>
        <w:t>.</w:t>
      </w:r>
    </w:p>
    <w:p/>
    <w:p>
      <w:pPr>
        <w:pStyle w:val="Heading3"/>
      </w:pPr>
      <w:r>
        <w:t>FastAPI</w:t>
      </w:r>
    </w:p>
    <w:p>
      <w:r>
        <w:t>Modern Python web framework for building APIs. Used for backend.</w:t>
      </w:r>
    </w:p>
    <w:p/>
    <w:p>
      <w:pPr>
        <w:pStyle w:val="Heading3"/>
      </w:pPr>
      <w:r>
        <w:t>Git</w:t>
      </w:r>
    </w:p>
    <w:p>
      <w:r>
        <w:t>Version control system for tracking code changes.</w:t>
      </w:r>
    </w:p>
    <w:p/>
    <w:p>
      <w:pPr>
        <w:pStyle w:val="Heading3"/>
      </w:pPr>
      <w:r>
        <w:t>HTTPX</w:t>
      </w:r>
    </w:p>
    <w:p>
      <w:r>
        <w:t>Async Python HTTP client library. Used for calling Elexon API with retry logic.</w:t>
      </w:r>
    </w:p>
    <w:p/>
    <w:p>
      <w:pPr>
        <w:pStyle w:val="Heading3"/>
      </w:pPr>
      <w:r>
        <w:t>JSON (JavaScript Object Notation)</w:t>
      </w:r>
    </w:p>
    <w:p>
      <w:r>
        <w:t>Lightweight text format for data interchange. Used for API responses and cache files.</w:t>
      </w:r>
    </w:p>
    <w:p/>
    <w:p>
      <w:pPr>
        <w:pStyle w:val="Heading3"/>
      </w:pPr>
      <w:r>
        <w:t>JWT (JSON Web Token)</w:t>
      </w:r>
    </w:p>
    <w:p>
      <w:r>
        <w:t>Security token format for authentication. Not implemented in v1.0 (no authentication).</w:t>
      </w:r>
    </w:p>
    <w:p/>
    <w:p>
      <w:pPr>
        <w:pStyle w:val="Heading3"/>
      </w:pPr>
      <w:r>
        <w:t>KPI (Key Performance Indicator)</w:t>
      </w:r>
    </w:p>
    <w:p>
      <w:r>
        <w:t>Metric used to evaluate success. Dashboard displays 6 KPIs: avg actual, avg forecast, MAE, RMSE, bias, completeness.</w:t>
      </w:r>
    </w:p>
    <w:p/>
    <w:p>
      <w:pPr>
        <w:pStyle w:val="Heading3"/>
      </w:pPr>
      <w:r>
        <w:t>Nginx</w:t>
      </w:r>
    </w:p>
    <w:p>
      <w:r>
        <w:t>Web server software. Used to serve frontend static files and proxy API requests.</w:t>
      </w:r>
    </w:p>
    <w:p/>
    <w:p>
      <w:pPr>
        <w:pStyle w:val="Heading3"/>
      </w:pPr>
      <w:r>
        <w:t>NumPy</w:t>
      </w:r>
    </w:p>
    <w:p>
      <w:r>
        <w:t>Python library for numerical computing. Used for vectorized metrics calculations.</w:t>
      </w:r>
    </w:p>
    <w:p/>
    <w:p>
      <w:pPr>
        <w:pStyle w:val="Heading3"/>
      </w:pPr>
      <w:r>
        <w:t>Pandas</w:t>
      </w:r>
    </w:p>
    <w:p>
      <w:r>
        <w:t>Python library for data manipulation. Used for time-series aggregation.</w:t>
      </w:r>
    </w:p>
    <w:p/>
    <w:p>
      <w:pPr>
        <w:pStyle w:val="Heading3"/>
      </w:pPr>
      <w:r>
        <w:t>Pydantic</w:t>
      </w:r>
    </w:p>
    <w:p>
      <w:r>
        <w:t>Python library for data validation using type hints. Used for API request/response schemas.</w:t>
      </w:r>
    </w:p>
    <w:p/>
    <w:p>
      <w:pPr>
        <w:pStyle w:val="Heading3"/>
      </w:pPr>
      <w:r>
        <w:t>React</w:t>
      </w:r>
    </w:p>
    <w:p>
      <w:r>
        <w:t>JavaScript library for building user interfaces. Used for frontend.</w:t>
      </w:r>
    </w:p>
    <w:p/>
    <w:p>
      <w:pPr>
        <w:pStyle w:val="Heading3"/>
      </w:pPr>
      <w:r>
        <w:t>REST (Representational State Transfer)</w:t>
      </w:r>
    </w:p>
    <w:p>
      <w:r>
        <w:t>Architectural style for APIs. Elexon BMRS and backend APIs are RESTful.</w:t>
      </w:r>
    </w:p>
    <w:p/>
    <w:p>
      <w:pPr>
        <w:pStyle w:val="Heading3"/>
      </w:pPr>
      <w:r>
        <w:t>shadcn/ui</w:t>
      </w:r>
    </w:p>
    <w:p>
      <w:r>
        <w:t>React component library (CLI-based, not npm package). Provides accessible UI primitives.</w:t>
      </w:r>
    </w:p>
    <w:p/>
    <w:p>
      <w:pPr>
        <w:pStyle w:val="Heading3"/>
      </w:pPr>
      <w:r>
        <w:t>SSL/TLS (Secure Sockets Layer / Transport Layer Security)</w:t>
      </w:r>
    </w:p>
    <w:p>
      <w:r>
        <w:t>Cryptographic protocols for secure communication. Production deployment uses HTTPS (TLS).</w:t>
      </w:r>
    </w:p>
    <w:p/>
    <w:p>
      <w:pPr>
        <w:pStyle w:val="Heading3"/>
      </w:pPr>
      <w:r>
        <w:t>SPA (Single-Page Application)</w:t>
      </w:r>
    </w:p>
    <w:p>
      <w:r>
        <w:t>Web app that loads once and updates content dynamically without full page reloads. This dashboard is an SPA.</w:t>
      </w:r>
    </w:p>
    <w:p/>
    <w:p>
      <w:pPr>
        <w:pStyle w:val="Heading3"/>
      </w:pPr>
      <w:r>
        <w:t>Tailwind CSS</w:t>
      </w:r>
    </w:p>
    <w:p>
      <w:r>
        <w:t>Utility-first CSS framework. Version 4 uses CSS-first configuration.</w:t>
      </w:r>
    </w:p>
    <w:p/>
    <w:p>
      <w:pPr>
        <w:pStyle w:val="Heading3"/>
      </w:pPr>
      <w:r>
        <w:t>TanStack Query (React Query)</w:t>
      </w:r>
    </w:p>
    <w:p>
      <w:r>
        <w:t>React library for data fetching, caching, and synchronization. Used for API calls in frontend.</w:t>
      </w:r>
    </w:p>
    <w:p/>
    <w:p>
      <w:pPr>
        <w:pStyle w:val="Heading3"/>
      </w:pPr>
      <w:r>
        <w:t>TypeScript</w:t>
      </w:r>
    </w:p>
    <w:p>
      <w:r>
        <w:t>Typed superset of JavaScript. Used for frontend code.</w:t>
      </w:r>
    </w:p>
    <w:p/>
    <w:p>
      <w:pPr>
        <w:pStyle w:val="Heading3"/>
      </w:pPr>
      <w:r>
        <w:t>UTC (Coordinated Universal Time)</w:t>
      </w:r>
    </w:p>
    <w:p>
      <w:r>
        <w:t>Primary time standard. All timestamps in this project are UTC. January UK time = UTC (GMT).</w:t>
      </w:r>
    </w:p>
    <w:p/>
    <w:p>
      <w:pPr>
        <w:pStyle w:val="Heading3"/>
      </w:pPr>
      <w:r>
        <w:t>Uvicorn</w:t>
      </w:r>
    </w:p>
    <w:p>
      <w:r>
        <w:t>ASGI server for running FastAPI applications.</w:t>
      </w:r>
    </w:p>
    <w:p/>
    <w:p>
      <w:pPr>
        <w:pStyle w:val="Heading3"/>
      </w:pPr>
      <w:r>
        <w:t>Vite</w:t>
      </w:r>
    </w:p>
    <w:p>
      <w:r>
        <w:t>Modern build tool for frontend development. Faster than Webpack.</w:t>
      </w:r>
    </w:p>
    <w:p/>
    <w:p>
      <w:pPr>
        <w:pStyle w:val="Heading3"/>
      </w:pPr>
      <w:r>
        <w:t>Recharts</w:t>
      </w:r>
    </w:p>
    <w:p>
      <w:r>
        <w:t>React charting library built on D3. Used for all dashboard visualizations.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Statistical Terms</w:t>
      </w:r>
    </w:p>
    <w:p/>
    <w:p>
      <w:pPr>
        <w:pStyle w:val="Heading3"/>
      </w:pPr>
      <w:r>
        <w:t>Confidence Interval</w:t>
      </w:r>
    </w:p>
    <w:p>
      <w:r>
        <w:t>Range of values that likely contains true population parameter. Not implemented in v1.0.</w:t>
      </w:r>
    </w:p>
    <w:p/>
    <w:p>
      <w:pPr>
        <w:pStyle w:val="Heading3"/>
      </w:pPr>
      <w:r>
        <w:t>Mean</w:t>
      </w:r>
    </w:p>
    <w:p>
      <w:r>
        <w:t xml:space="preserve">Average value. Formula: </w:t>
      </w:r>
      <w:r>
        <w:rPr>
          <w:rFonts w:ascii="Courier New" w:hAnsi="Courier New"/>
          <w:color w:val="DC2626"/>
          <w:sz w:val="20"/>
        </w:rPr>
        <w:t>(1/N) × Σx</w:t>
      </w:r>
      <w:r>
        <w:t>.</w:t>
      </w:r>
    </w:p>
    <w:p/>
    <w:p>
      <w:pPr>
        <w:pStyle w:val="Heading3"/>
      </w:pPr>
      <w:r>
        <w:t>Median</w:t>
      </w:r>
    </w:p>
    <w:p>
      <w:r>
        <w:t>Middle value when data sorted. More robust to outliers than mean.</w:t>
      </w:r>
    </w:p>
    <w:p/>
    <w:p>
      <w:pPr>
        <w:pStyle w:val="Heading3"/>
      </w:pPr>
      <w:r>
        <w:t>Outlier</w:t>
      </w:r>
    </w:p>
    <w:p>
      <w:r>
        <w:t>Data point significantly different from others. Often indicates unusual event (e.g., storm, equipment failure).</w:t>
      </w:r>
    </w:p>
    <w:p/>
    <w:p>
      <w:pPr>
        <w:pStyle w:val="Heading3"/>
      </w:pPr>
      <w:r>
        <w:t>Population</w:t>
      </w:r>
    </w:p>
    <w:p>
      <w:r>
        <w:t>Complete set of data points. This project analyzes population (all 744 hours), not sample.</w:t>
      </w:r>
    </w:p>
    <w:p/>
    <w:p>
      <w:pPr>
        <w:pStyle w:val="Heading3"/>
      </w:pPr>
      <w:r>
        <w:t>Sample</w:t>
      </w:r>
    </w:p>
    <w:p>
      <w:r>
        <w:t>Subset of population. Not applicable here (full population analyzed).</w:t>
      </w:r>
    </w:p>
    <w:p/>
    <w:p>
      <w:pPr>
        <w:pStyle w:val="Heading3"/>
      </w:pPr>
      <w:r>
        <w:t>Standard Deviation</w:t>
      </w:r>
    </w:p>
    <w:p>
      <w:r>
        <w:t xml:space="preserve">Measure of data spread around mean. Formula: </w:t>
      </w:r>
      <w:r>
        <w:rPr>
          <w:rFonts w:ascii="Courier New" w:hAnsi="Courier New"/>
          <w:color w:val="DC2626"/>
          <w:sz w:val="20"/>
        </w:rPr>
        <w:t>sqrt((1/N) × Σ(x - mean)²)</w:t>
      </w:r>
      <w:r>
        <w:t>.</w:t>
      </w:r>
    </w:p>
    <w:p/>
    <w:p>
      <w:pPr>
        <w:pStyle w:val="Heading3"/>
      </w:pPr>
      <w:r>
        <w:t>Variance</w:t>
      </w:r>
    </w:p>
    <w:p>
      <w:r>
        <w:t>Squared standard deviation. Measure of data variability.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Abbreviations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Abbreviation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Full Term</w:t>
            </w:r>
          </w:p>
        </w:tc>
      </w:tr>
      <w:tr>
        <w:tc>
          <w:tcPr>
            <w:tcW w:type="dxa" w:w="4320"/>
          </w:tcPr>
          <w:p>
            <w:r>
              <w:t>AA</w:t>
            </w:r>
          </w:p>
        </w:tc>
        <w:tc>
          <w:tcPr>
            <w:tcW w:type="dxa" w:w="4320"/>
          </w:tcPr>
          <w:p>
            <w:r>
              <w:t>Accessibility Level AA (WCAG 2.2)</w:t>
            </w:r>
          </w:p>
        </w:tc>
      </w:tr>
      <w:tr>
        <w:tc>
          <w:tcPr>
            <w:tcW w:type="dxa" w:w="4320"/>
          </w:tcPr>
          <w:p>
            <w:r>
              <w:t>BMRS</w:t>
            </w:r>
          </w:p>
        </w:tc>
        <w:tc>
          <w:tcPr>
            <w:tcW w:type="dxa" w:w="4320"/>
          </w:tcPr>
          <w:p>
            <w:r>
              <w:t>Balancing Mechanism Reporting Service</w:t>
            </w:r>
          </w:p>
        </w:tc>
      </w:tr>
      <w:tr>
        <w:tc>
          <w:tcPr>
            <w:tcW w:type="dxa" w:w="4320"/>
          </w:tcPr>
          <w:p>
            <w:r>
              <w:t>BSC</w:t>
            </w:r>
          </w:p>
        </w:tc>
        <w:tc>
          <w:tcPr>
            <w:tcW w:type="dxa" w:w="4320"/>
          </w:tcPr>
          <w:p>
            <w:r>
              <w:t>Balancing and Settlement Code</w:t>
            </w:r>
          </w:p>
        </w:tc>
      </w:tr>
      <w:tr>
        <w:tc>
          <w:tcPr>
            <w:tcW w:type="dxa" w:w="4320"/>
          </w:tcPr>
          <w:p>
            <w:r>
              <w:t>BST</w:t>
            </w:r>
          </w:p>
        </w:tc>
        <w:tc>
          <w:tcPr>
            <w:tcW w:type="dxa" w:w="4320"/>
          </w:tcPr>
          <w:p>
            <w:r>
              <w:t>British Summer Time</w:t>
            </w:r>
          </w:p>
        </w:tc>
      </w:tr>
      <w:tr>
        <w:tc>
          <w:tcPr>
            <w:tcW w:type="dxa" w:w="4320"/>
          </w:tcPr>
          <w:p>
            <w:r>
              <w:t>CCGT</w:t>
            </w:r>
          </w:p>
        </w:tc>
        <w:tc>
          <w:tcPr>
            <w:tcW w:type="dxa" w:w="4320"/>
          </w:tcPr>
          <w:p>
            <w:r>
              <w:t>Combined Cycle Gas Turbine</w:t>
            </w:r>
          </w:p>
        </w:tc>
      </w:tr>
      <w:tr>
        <w:tc>
          <w:tcPr>
            <w:tcW w:type="dxa" w:w="4320"/>
          </w:tcPr>
          <w:p>
            <w:r>
              <w:t>CI/CD</w:t>
            </w:r>
          </w:p>
        </w:tc>
        <w:tc>
          <w:tcPr>
            <w:tcW w:type="dxa" w:w="4320"/>
          </w:tcPr>
          <w:p>
            <w:r>
              <w:t>Continuous Integration / Continuous Deployment</w:t>
            </w:r>
          </w:p>
        </w:tc>
      </w:tr>
      <w:tr>
        <w:tc>
          <w:tcPr>
            <w:tcW w:type="dxa" w:w="4320"/>
          </w:tcPr>
          <w:p>
            <w:r>
              <w:t>CLS</w:t>
            </w:r>
          </w:p>
        </w:tc>
        <w:tc>
          <w:tcPr>
            <w:tcW w:type="dxa" w:w="4320"/>
          </w:tcPr>
          <w:p>
            <w:r>
              <w:t>Cumulative Layout Shift (Core Web Vital)</w:t>
            </w:r>
          </w:p>
        </w:tc>
      </w:tr>
      <w:tr>
        <w:tc>
          <w:tcPr>
            <w:tcW w:type="dxa" w:w="4320"/>
          </w:tcPr>
          <w:p>
            <w:r>
              <w:t>CORS</w:t>
            </w:r>
          </w:p>
        </w:tc>
        <w:tc>
          <w:tcPr>
            <w:tcW w:type="dxa" w:w="4320"/>
          </w:tcPr>
          <w:p>
            <w:r>
              <w:t>Cross-Origin Resource Sharing</w:t>
            </w:r>
          </w:p>
        </w:tc>
      </w:tr>
      <w:tr>
        <w:tc>
          <w:tcPr>
            <w:tcW w:type="dxa" w:w="4320"/>
          </w:tcPr>
          <w:p>
            <w:r>
              <w:t>CPU</w:t>
            </w:r>
          </w:p>
        </w:tc>
        <w:tc>
          <w:tcPr>
            <w:tcW w:type="dxa" w:w="4320"/>
          </w:tcPr>
          <w:p>
            <w:r>
              <w:t>Central Processing Unit</w:t>
            </w:r>
          </w:p>
        </w:tc>
      </w:tr>
      <w:tr>
        <w:tc>
          <w:tcPr>
            <w:tcW w:type="dxa" w:w="4320"/>
          </w:tcPr>
          <w:p>
            <w:r>
              <w:t>CSV</w:t>
            </w:r>
          </w:p>
        </w:tc>
        <w:tc>
          <w:tcPr>
            <w:tcW w:type="dxa" w:w="4320"/>
          </w:tcPr>
          <w:p>
            <w:r>
              <w:t>Comma-Separated Values</w:t>
            </w:r>
          </w:p>
        </w:tc>
      </w:tr>
      <w:tr>
        <w:tc>
          <w:tcPr>
            <w:tcW w:type="dxa" w:w="4320"/>
          </w:tcPr>
          <w:p>
            <w:r>
              <w:t>D-1</w:t>
            </w:r>
          </w:p>
        </w:tc>
        <w:tc>
          <w:tcPr>
            <w:tcW w:type="dxa" w:w="4320"/>
          </w:tcPr>
          <w:p>
            <w:r>
              <w:t>Day-Ahead (one day before delivery)</w:t>
            </w:r>
          </w:p>
        </w:tc>
      </w:tr>
      <w:tr>
        <w:tc>
          <w:tcPr>
            <w:tcW w:type="dxa" w:w="4320"/>
          </w:tcPr>
          <w:p>
            <w:r>
              <w:t>ECS</w:t>
            </w:r>
          </w:p>
        </w:tc>
        <w:tc>
          <w:tcPr>
            <w:tcW w:type="dxa" w:w="4320"/>
          </w:tcPr>
          <w:p>
            <w:r>
              <w:t>Elastic Container Service (AWS)</w:t>
            </w:r>
          </w:p>
        </w:tc>
      </w:tr>
      <w:tr>
        <w:tc>
          <w:tcPr>
            <w:tcW w:type="dxa" w:w="4320"/>
          </w:tcPr>
          <w:p>
            <w:r>
              <w:t>EFS</w:t>
            </w:r>
          </w:p>
        </w:tc>
        <w:tc>
          <w:tcPr>
            <w:tcW w:type="dxa" w:w="4320"/>
          </w:tcPr>
          <w:p>
            <w:r>
              <w:t>Elastic File System (AWS)</w:t>
            </w:r>
          </w:p>
        </w:tc>
      </w:tr>
      <w:tr>
        <w:tc>
          <w:tcPr>
            <w:tcW w:type="dxa" w:w="4320"/>
          </w:tcPr>
          <w:p>
            <w:r>
              <w:t>ESO</w:t>
            </w:r>
          </w:p>
        </w:tc>
        <w:tc>
          <w:tcPr>
            <w:tcW w:type="dxa" w:w="4320"/>
          </w:tcPr>
          <w:p>
            <w:r>
              <w:t>Electricity System Operator</w:t>
            </w:r>
          </w:p>
        </w:tc>
      </w:tr>
      <w:tr>
        <w:tc>
          <w:tcPr>
            <w:tcW w:type="dxa" w:w="4320"/>
          </w:tcPr>
          <w:p>
            <w:r>
              <w:t>FID</w:t>
            </w:r>
          </w:p>
        </w:tc>
        <w:tc>
          <w:tcPr>
            <w:tcW w:type="dxa" w:w="4320"/>
          </w:tcPr>
          <w:p>
            <w:r>
              <w:t>First Input Delay (Core Web Vital)</w:t>
            </w:r>
          </w:p>
        </w:tc>
      </w:tr>
      <w:tr>
        <w:tc>
          <w:tcPr>
            <w:tcW w:type="dxa" w:w="4320"/>
          </w:tcPr>
          <w:p>
            <w:r>
              <w:t>GB</w:t>
            </w:r>
          </w:p>
        </w:tc>
        <w:tc>
          <w:tcPr>
            <w:tcW w:type="dxa" w:w="4320"/>
          </w:tcPr>
          <w:p>
            <w:r>
              <w:t>Great Britain</w:t>
            </w:r>
          </w:p>
        </w:tc>
      </w:tr>
      <w:tr>
        <w:tc>
          <w:tcPr>
            <w:tcW w:type="dxa" w:w="4320"/>
          </w:tcPr>
          <w:p>
            <w:r>
              <w:t>GMT</w:t>
            </w:r>
          </w:p>
        </w:tc>
        <w:tc>
          <w:tcPr>
            <w:tcW w:type="dxa" w:w="4320"/>
          </w:tcPr>
          <w:p>
            <w:r>
              <w:t>Greenwich Mean Time</w:t>
            </w:r>
          </w:p>
        </w:tc>
      </w:tr>
      <w:tr>
        <w:tc>
          <w:tcPr>
            <w:tcW w:type="dxa" w:w="4320"/>
          </w:tcPr>
          <w:p>
            <w:r>
              <w:t>HH</w:t>
            </w:r>
          </w:p>
        </w:tc>
        <w:tc>
          <w:tcPr>
            <w:tcW w:type="dxa" w:w="4320"/>
          </w:tcPr>
          <w:p>
            <w:r>
              <w:t>Half-Hourly</w:t>
            </w:r>
          </w:p>
        </w:tc>
      </w:tr>
      <w:tr>
        <w:tc>
          <w:tcPr>
            <w:tcW w:type="dxa" w:w="4320"/>
          </w:tcPr>
          <w:p>
            <w:r>
              <w:t>HTTPS</w:t>
            </w:r>
          </w:p>
        </w:tc>
        <w:tc>
          <w:tcPr>
            <w:tcW w:type="dxa" w:w="4320"/>
          </w:tcPr>
          <w:p>
            <w:r>
              <w:t>Hypertext Transfer Protocol Secure</w:t>
            </w:r>
          </w:p>
        </w:tc>
      </w:tr>
      <w:tr>
        <w:tc>
          <w:tcPr>
            <w:tcW w:type="dxa" w:w="4320"/>
          </w:tcPr>
          <w:p>
            <w:r>
              <w:t>ISO</w:t>
            </w:r>
          </w:p>
        </w:tc>
        <w:tc>
          <w:tcPr>
            <w:tcW w:type="dxa" w:w="4320"/>
          </w:tcPr>
          <w:p>
            <w:r>
              <w:t>International Organization for Standardization</w:t>
            </w:r>
          </w:p>
        </w:tc>
      </w:tr>
      <w:tr>
        <w:tc>
          <w:tcPr>
            <w:tcW w:type="dxa" w:w="4320"/>
          </w:tcPr>
          <w:p>
            <w:r>
              <w:t>JSON</w:t>
            </w:r>
          </w:p>
        </w:tc>
        <w:tc>
          <w:tcPr>
            <w:tcW w:type="dxa" w:w="4320"/>
          </w:tcPr>
          <w:p>
            <w:r>
              <w:t>JavaScript Object Notation</w:t>
            </w:r>
          </w:p>
        </w:tc>
      </w:tr>
      <w:tr>
        <w:tc>
          <w:tcPr>
            <w:tcW w:type="dxa" w:w="4320"/>
          </w:tcPr>
          <w:p>
            <w:r>
              <w:t>JWT</w:t>
            </w:r>
          </w:p>
        </w:tc>
        <w:tc>
          <w:tcPr>
            <w:tcW w:type="dxa" w:w="4320"/>
          </w:tcPr>
          <w:p>
            <w:r>
              <w:t>JSON Web Token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LCP</w:t>
            </w:r>
          </w:p>
        </w:tc>
        <w:tc>
          <w:tcPr>
            <w:tcW w:type="dxa" w:w="4320"/>
          </w:tcPr>
          <w:p>
            <w:r>
              <w:t>Largest Contentful Paint (Core Web Vital)</w:t>
            </w:r>
          </w:p>
        </w:tc>
      </w:tr>
      <w:tr>
        <w:tc>
          <w:tcPr>
            <w:tcW w:type="dxa" w:w="4320"/>
          </w:tcPr>
          <w:p>
            <w:r>
              <w:t>MAE</w:t>
            </w:r>
          </w:p>
        </w:tc>
        <w:tc>
          <w:tcPr>
            <w:tcW w:type="dxa" w:w="4320"/>
          </w:tcPr>
          <w:p>
            <w:r>
              <w:t>Mean Absolute Error</w:t>
            </w:r>
          </w:p>
        </w:tc>
      </w:tr>
      <w:tr>
        <w:tc>
          <w:tcPr>
            <w:tcW w:type="dxa" w:w="4320"/>
          </w:tcPr>
          <w:p>
            <w:r>
              <w:t>MAPE</w:t>
            </w:r>
          </w:p>
        </w:tc>
        <w:tc>
          <w:tcPr>
            <w:tcW w:type="dxa" w:w="4320"/>
          </w:tcPr>
          <w:p>
            <w:r>
              <w:t>Mean Absolute Percentage Error</w:t>
            </w:r>
          </w:p>
        </w:tc>
      </w:tr>
      <w:tr>
        <w:tc>
          <w:tcPr>
            <w:tcW w:type="dxa" w:w="4320"/>
          </w:tcPr>
          <w:p>
            <w:r>
              <w:t>MB</w:t>
            </w:r>
          </w:p>
        </w:tc>
        <w:tc>
          <w:tcPr>
            <w:tcW w:type="dxa" w:w="4320"/>
          </w:tcPr>
          <w:p>
            <w:r>
              <w:t>Megabyte</w:t>
            </w:r>
          </w:p>
        </w:tc>
      </w:tr>
      <w:tr>
        <w:tc>
          <w:tcPr>
            <w:tcW w:type="dxa" w:w="4320"/>
          </w:tcPr>
          <w:p>
            <w:r>
              <w:t>MW</w:t>
            </w:r>
          </w:p>
        </w:tc>
        <w:tc>
          <w:tcPr>
            <w:tcW w:type="dxa" w:w="4320"/>
          </w:tcPr>
          <w:p>
            <w:r>
              <w:t>Megawatt</w:t>
            </w:r>
          </w:p>
        </w:tc>
      </w:tr>
      <w:tr>
        <w:tc>
          <w:tcPr>
            <w:tcW w:type="dxa" w:w="4320"/>
          </w:tcPr>
          <w:p>
            <w:r>
              <w:t>MWh</w:t>
            </w:r>
          </w:p>
        </w:tc>
        <w:tc>
          <w:tcPr>
            <w:tcW w:type="dxa" w:w="4320"/>
          </w:tcPr>
          <w:p>
            <w:r>
              <w:t>Megawatt-hour</w:t>
            </w:r>
          </w:p>
        </w:tc>
      </w:tr>
      <w:tr>
        <w:tc>
          <w:tcPr>
            <w:tcW w:type="dxa" w:w="4320"/>
          </w:tcPr>
          <w:p>
            <w:r>
              <w:t>N2EX</w:t>
            </w:r>
          </w:p>
        </w:tc>
        <w:tc>
          <w:tcPr>
            <w:tcW w:type="dxa" w:w="4320"/>
          </w:tcPr>
          <w:p>
            <w:r>
              <w:t>Nord Pool Exchange</w:t>
            </w:r>
          </w:p>
        </w:tc>
      </w:tr>
      <w:tr>
        <w:tc>
          <w:tcPr>
            <w:tcW w:type="dxa" w:w="4320"/>
          </w:tcPr>
          <w:p>
            <w:r>
              <w:t>PDF</w:t>
            </w:r>
          </w:p>
        </w:tc>
        <w:tc>
          <w:tcPr>
            <w:tcW w:type="dxa" w:w="4320"/>
          </w:tcPr>
          <w:p>
            <w:r>
              <w:t>Portable Document Format</w:t>
            </w:r>
          </w:p>
        </w:tc>
      </w:tr>
      <w:tr>
        <w:tc>
          <w:tcPr>
            <w:tcW w:type="dxa" w:w="4320"/>
          </w:tcPr>
          <w:p>
            <w:r>
              <w:t>PNG</w:t>
            </w:r>
          </w:p>
        </w:tc>
        <w:tc>
          <w:tcPr>
            <w:tcW w:type="dxa" w:w="4320"/>
          </w:tcPr>
          <w:p>
            <w:r>
              <w:t>Portable Network Graphics</w:t>
            </w:r>
          </w:p>
        </w:tc>
      </w:tr>
      <w:tr>
        <w:tc>
          <w:tcPr>
            <w:tcW w:type="dxa" w:w="4320"/>
          </w:tcPr>
          <w:p>
            <w:r>
              <w:t>REST</w:t>
            </w:r>
          </w:p>
        </w:tc>
        <w:tc>
          <w:tcPr>
            <w:tcW w:type="dxa" w:w="4320"/>
          </w:tcPr>
          <w:p>
            <w:r>
              <w:t>Representational State Transfer</w:t>
            </w:r>
          </w:p>
        </w:tc>
      </w:tr>
      <w:tr>
        <w:tc>
          <w:tcPr>
            <w:tcW w:type="dxa" w:w="4320"/>
          </w:tcPr>
          <w:p>
            <w:r>
              <w:t>RMSE</w:t>
            </w:r>
          </w:p>
        </w:tc>
        <w:tc>
          <w:tcPr>
            <w:tcW w:type="dxa" w:w="4320"/>
          </w:tcPr>
          <w:p>
            <w:r>
              <w:t>Root Mean Square Error</w:t>
            </w:r>
          </w:p>
        </w:tc>
      </w:tr>
      <w:tr>
        <w:tc>
          <w:tcPr>
            <w:tcW w:type="dxa" w:w="4320"/>
          </w:tcPr>
          <w:p>
            <w:r>
              <w:t>RTL</w:t>
            </w:r>
          </w:p>
        </w:tc>
        <w:tc>
          <w:tcPr>
            <w:tcW w:type="dxa" w:w="4320"/>
          </w:tcPr>
          <w:p>
            <w:r>
              <w:t>React Testing Library</w:t>
            </w:r>
          </w:p>
        </w:tc>
      </w:tr>
      <w:tr>
        <w:tc>
          <w:tcPr>
            <w:tcW w:type="dxa" w:w="4320"/>
          </w:tcPr>
          <w:p>
            <w:r>
              <w:t>SPA</w:t>
            </w:r>
          </w:p>
        </w:tc>
        <w:tc>
          <w:tcPr>
            <w:tcW w:type="dxa" w:w="4320"/>
          </w:tcPr>
          <w:p>
            <w:r>
              <w:t>Single-Page Application</w:t>
            </w:r>
          </w:p>
        </w:tc>
      </w:tr>
      <w:tr>
        <w:tc>
          <w:tcPr>
            <w:tcW w:type="dxa" w:w="4320"/>
          </w:tcPr>
          <w:p>
            <w:r>
              <w:t>SP</w:t>
            </w:r>
          </w:p>
        </w:tc>
        <w:tc>
          <w:tcPr>
            <w:tcW w:type="dxa" w:w="4320"/>
          </w:tcPr>
          <w:p>
            <w:r>
              <w:t>Settlement Period</w:t>
            </w:r>
          </w:p>
        </w:tc>
      </w:tr>
      <w:tr>
        <w:tc>
          <w:tcPr>
            <w:tcW w:type="dxa" w:w="4320"/>
          </w:tcPr>
          <w:p>
            <w:r>
              <w:t>SQL</w:t>
            </w:r>
          </w:p>
        </w:tc>
        <w:tc>
          <w:tcPr>
            <w:tcW w:type="dxa" w:w="4320"/>
          </w:tcPr>
          <w:p>
            <w:r>
              <w:t>Structured Query Language</w:t>
            </w:r>
          </w:p>
        </w:tc>
      </w:tr>
      <w:tr>
        <w:tc>
          <w:tcPr>
            <w:tcW w:type="dxa" w:w="4320"/>
          </w:tcPr>
          <w:p>
            <w:r>
              <w:t>SSL</w:t>
            </w:r>
          </w:p>
        </w:tc>
        <w:tc>
          <w:tcPr>
            <w:tcW w:type="dxa" w:w="4320"/>
          </w:tcPr>
          <w:p>
            <w:r>
              <w:t>Secure Sockets Layer</w:t>
            </w:r>
          </w:p>
        </w:tc>
      </w:tr>
      <w:tr>
        <w:tc>
          <w:tcPr>
            <w:tcW w:type="dxa" w:w="4320"/>
          </w:tcPr>
          <w:p>
            <w:r>
              <w:t>SVG</w:t>
            </w:r>
          </w:p>
        </w:tc>
        <w:tc>
          <w:tcPr>
            <w:tcW w:type="dxa" w:w="4320"/>
          </w:tcPr>
          <w:p>
            <w:r>
              <w:t>Scalable Vector Graphics</w:t>
            </w:r>
          </w:p>
        </w:tc>
      </w:tr>
      <w:tr>
        <w:tc>
          <w:tcPr>
            <w:tcW w:type="dxa" w:w="4320"/>
          </w:tcPr>
          <w:p>
            <w:r>
              <w:t>TLS</w:t>
            </w:r>
          </w:p>
        </w:tc>
        <w:tc>
          <w:tcPr>
            <w:tcW w:type="dxa" w:w="4320"/>
          </w:tcPr>
          <w:p>
            <w:r>
              <w:t>Transport Layer Security</w:t>
            </w:r>
          </w:p>
        </w:tc>
      </w:tr>
      <w:tr>
        <w:tc>
          <w:tcPr>
            <w:tcW w:type="dxa" w:w="4320"/>
          </w:tcPr>
          <w:p>
            <w:r>
              <w:t>TTFB</w:t>
            </w:r>
          </w:p>
        </w:tc>
        <w:tc>
          <w:tcPr>
            <w:tcW w:type="dxa" w:w="4320"/>
          </w:tcPr>
          <w:p>
            <w:r>
              <w:t>Time to First Byte</w:t>
            </w:r>
          </w:p>
        </w:tc>
      </w:tr>
      <w:tr>
        <w:tc>
          <w:tcPr>
            <w:tcW w:type="dxa" w:w="4320"/>
          </w:tcPr>
          <w:p>
            <w:r>
              <w:t>UI</w:t>
            </w:r>
          </w:p>
        </w:tc>
        <w:tc>
          <w:tcPr>
            <w:tcW w:type="dxa" w:w="4320"/>
          </w:tcPr>
          <w:p>
            <w:r>
              <w:t>User Interface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Uniform Resource Locator</w:t>
            </w:r>
          </w:p>
        </w:tc>
      </w:tr>
      <w:tr>
        <w:tc>
          <w:tcPr>
            <w:tcW w:type="dxa" w:w="4320"/>
          </w:tcPr>
          <w:p>
            <w:r>
              <w:t>UTC</w:t>
            </w:r>
          </w:p>
        </w:tc>
        <w:tc>
          <w:tcPr>
            <w:tcW w:type="dxa" w:w="4320"/>
          </w:tcPr>
          <w:p>
            <w:r>
              <w:t>Coordinated Universal Time</w:t>
            </w:r>
          </w:p>
        </w:tc>
      </w:tr>
      <w:tr>
        <w:tc>
          <w:tcPr>
            <w:tcW w:type="dxa" w:w="4320"/>
          </w:tcPr>
          <w:p>
            <w:r>
              <w:t>UX</w:t>
            </w:r>
          </w:p>
        </w:tc>
        <w:tc>
          <w:tcPr>
            <w:tcW w:type="dxa" w:w="4320"/>
          </w:tcPr>
          <w:p>
            <w:r>
              <w:t>User Experience</w:t>
            </w:r>
          </w:p>
        </w:tc>
      </w:tr>
      <w:tr>
        <w:tc>
          <w:tcPr>
            <w:tcW w:type="dxa" w:w="4320"/>
          </w:tcPr>
          <w:p>
            <w:r>
              <w:t>WCAG</w:t>
            </w:r>
          </w:p>
        </w:tc>
        <w:tc>
          <w:tcPr>
            <w:tcW w:type="dxa" w:w="4320"/>
          </w:tcPr>
          <w:p>
            <w:r>
              <w:t>Web Content Accessibility Guidelines</w:t>
            </w:r>
          </w:p>
        </w:tc>
      </w:tr>
    </w:tbl>
    <w:p/>
    <w:p/>
    <w:p>
      <w:r>
        <w:t>____________________________________________________________</w:t>
      </w:r>
    </w:p>
    <w:p/>
    <w:p>
      <w:pPr>
        <w:pStyle w:val="Heading2"/>
      </w:pPr>
      <w:r>
        <w:t>Units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Full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MW</w:t>
            </w:r>
          </w:p>
        </w:tc>
        <w:tc>
          <w:tcPr>
            <w:tcW w:type="dxa" w:w="2880"/>
          </w:tcPr>
          <w:p>
            <w:r>
              <w:t>Megawatt</w:t>
            </w:r>
          </w:p>
        </w:tc>
        <w:tc>
          <w:tcPr>
            <w:tcW w:type="dxa" w:w="2880"/>
          </w:tcPr>
          <w:p>
            <w:r>
              <w:t>Power unit (1 MW = 1,000,000 watts)</w:t>
            </w:r>
          </w:p>
        </w:tc>
      </w:tr>
      <w:tr>
        <w:tc>
          <w:tcPr>
            <w:tcW w:type="dxa" w:w="2880"/>
          </w:tcPr>
          <w:p>
            <w:r>
              <w:t>MWh</w:t>
            </w:r>
          </w:p>
        </w:tc>
        <w:tc>
          <w:tcPr>
            <w:tcW w:type="dxa" w:w="2880"/>
          </w:tcPr>
          <w:p>
            <w:r>
              <w:t>Megawatt-hour</w:t>
            </w:r>
          </w:p>
        </w:tc>
        <w:tc>
          <w:tcPr>
            <w:tcW w:type="dxa" w:w="2880"/>
          </w:tcPr>
          <w:p>
            <w:r>
              <w:t>Energy unit (1 MWh = 1 MW sustained for 1 hour)</w:t>
            </w:r>
          </w:p>
        </w:tc>
      </w:tr>
      <w:tr>
        <w:tc>
          <w:tcPr>
            <w:tcW w:type="dxa" w:w="2880"/>
          </w:tcPr>
          <w:p>
            <w:r>
              <w:t>GW</w:t>
            </w:r>
          </w:p>
        </w:tc>
        <w:tc>
          <w:tcPr>
            <w:tcW w:type="dxa" w:w="2880"/>
          </w:tcPr>
          <w:p>
            <w:r>
              <w:t>Gigawatt</w:t>
            </w:r>
          </w:p>
        </w:tc>
        <w:tc>
          <w:tcPr>
            <w:tcW w:type="dxa" w:w="2880"/>
          </w:tcPr>
          <w:p>
            <w:r>
              <w:t>Power unit (1 GW = 1,000 MW)</w:t>
            </w:r>
          </w:p>
        </w:tc>
      </w:tr>
      <w:tr>
        <w:tc>
          <w:tcPr>
            <w:tcW w:type="dxa" w:w="2880"/>
          </w:tcPr>
          <w:p>
            <w:r>
              <w:t>GWh</w:t>
            </w:r>
          </w:p>
        </w:tc>
        <w:tc>
          <w:tcPr>
            <w:tcW w:type="dxa" w:w="2880"/>
          </w:tcPr>
          <w:p>
            <w:r>
              <w:t>Gigawatt-hour</w:t>
            </w:r>
          </w:p>
        </w:tc>
        <w:tc>
          <w:tcPr>
            <w:tcW w:type="dxa" w:w="2880"/>
          </w:tcPr>
          <w:p>
            <w:r>
              <w:t>Energy unit (1 GWh = 1,000 MWh)</w:t>
            </w:r>
          </w:p>
        </w:tc>
      </w:tr>
      <w:tr>
        <w:tc>
          <w:tcPr>
            <w:tcW w:type="dxa" w:w="2880"/>
          </w:tcPr>
          <w:p>
            <w:r>
              <w:t>kB</w:t>
            </w:r>
          </w:p>
        </w:tc>
        <w:tc>
          <w:tcPr>
            <w:tcW w:type="dxa" w:w="2880"/>
          </w:tcPr>
          <w:p>
            <w:r>
              <w:t>Kilobyte</w:t>
            </w:r>
          </w:p>
        </w:tc>
        <w:tc>
          <w:tcPr>
            <w:tcW w:type="dxa" w:w="2880"/>
          </w:tcPr>
          <w:p>
            <w:r>
              <w:t>Data size (1 kB = 1,024 bytes)</w:t>
            </w:r>
          </w:p>
        </w:tc>
      </w:tr>
      <w:tr>
        <w:tc>
          <w:tcPr>
            <w:tcW w:type="dxa" w:w="2880"/>
          </w:tcPr>
          <w:p>
            <w:r>
              <w:t>MB</w:t>
            </w:r>
          </w:p>
        </w:tc>
        <w:tc>
          <w:tcPr>
            <w:tcW w:type="dxa" w:w="2880"/>
          </w:tcPr>
          <w:p>
            <w:r>
              <w:t>Megabyte</w:t>
            </w:r>
          </w:p>
        </w:tc>
        <w:tc>
          <w:tcPr>
            <w:tcW w:type="dxa" w:w="2880"/>
          </w:tcPr>
          <w:p>
            <w:r>
              <w:t>Data size (1 MB = 1,024 kB)</w:t>
            </w:r>
          </w:p>
        </w:tc>
      </w:tr>
      <w:tr>
        <w:tc>
          <w:tcPr>
            <w:tcW w:type="dxa" w:w="2880"/>
          </w:tcPr>
          <w:p>
            <w:r>
              <w:t>ms</w:t>
            </w:r>
          </w:p>
        </w:tc>
        <w:tc>
          <w:tcPr>
            <w:tcW w:type="dxa" w:w="2880"/>
          </w:tcPr>
          <w:p>
            <w:r>
              <w:t>Millisecond</w:t>
            </w:r>
          </w:p>
        </w:tc>
        <w:tc>
          <w:tcPr>
            <w:tcW w:type="dxa" w:w="2880"/>
          </w:tcPr>
          <w:p>
            <w:r>
              <w:t>Time unit (1 ms = 0.001 seconds)</w:t>
            </w:r>
          </w:p>
        </w:tc>
      </w:tr>
      <w:tr>
        <w:tc>
          <w:tcPr>
            <w:tcW w:type="dxa" w:w="2880"/>
          </w:tcPr>
          <w:p>
            <w:r>
              <w:t>%</w:t>
            </w:r>
          </w:p>
        </w:tc>
        <w:tc>
          <w:tcPr>
            <w:tcW w:type="dxa" w:w="2880"/>
          </w:tcPr>
          <w:p>
            <w:r>
              <w:t>Percent</w:t>
            </w:r>
          </w:p>
        </w:tc>
        <w:tc>
          <w:tcPr>
            <w:tcW w:type="dxa" w:w="2880"/>
          </w:tcPr>
          <w:p>
            <w:r>
              <w:t>Proportion out of 100</w:t>
            </w:r>
          </w:p>
        </w:tc>
      </w:tr>
    </w:tbl>
    <w:p/>
    <w:p/>
    <w:p>
      <w:r>
        <w:t>____________________________________________________________</w:t>
      </w:r>
    </w:p>
    <w:p/>
    <w:p>
      <w:pPr>
        <w:pStyle w:val="Heading2"/>
      </w:pPr>
      <w:r>
        <w:t>Formula Reference</w:t>
      </w:r>
    </w:p>
    <w:p/>
    <w:p>
      <w:pPr>
        <w:pStyle w:val="Heading3"/>
      </w:pPr>
      <w:r>
        <w:t>MAE (Mean Absolute Error)</w:t>
      </w:r>
    </w:p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>MAE = (1/N) × Σ|forecast - actual|</w:t>
      </w:r>
    </w:p>
    <w:p/>
    <w:p>
      <w:pPr>
        <w:pStyle w:val="Heading3"/>
      </w:pPr>
      <w:r>
        <w:t>RMSE (Root Mean Square Error)</w:t>
      </w:r>
    </w:p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>RMSE = sqrt((1/N) × Σ(forecast - actual)²)</w:t>
      </w:r>
    </w:p>
    <w:p/>
    <w:p>
      <w:pPr>
        <w:pStyle w:val="Heading3"/>
      </w:pPr>
      <w:r>
        <w:t>Bias (Mean Error)</w:t>
      </w:r>
    </w:p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>Bias = (1/N) × Σ(forecast - actual)</w:t>
      </w:r>
    </w:p>
    <w:p/>
    <w:p>
      <w:pPr>
        <w:pStyle w:val="Heading3"/>
      </w:pPr>
      <w:r>
        <w:t>MAPE (Mean Absolute Percentage Error)</w:t>
      </w:r>
    </w:p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>MAPE = (100/N) × Σ(|forecast - actual| / actual)</w:t>
        <w:br/>
        <w:t>[where actual &gt; threshold, typically 1 MW]</w:t>
      </w:r>
    </w:p>
    <w:p/>
    <w:p>
      <w:pPr>
        <w:pStyle w:val="Heading3"/>
      </w:pPr>
      <w:r>
        <w:t>Correlation (Pearson)</w:t>
      </w:r>
    </w:p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>r = cov(forecast, actual) / (σ_forecast × σ_actual)</w:t>
      </w:r>
    </w:p>
    <w:p/>
    <w:p>
      <w:pPr>
        <w:pStyle w:val="Heading3"/>
      </w:pPr>
      <w:r>
        <w:t>Hourly Aggregation (FUELHH)</w:t>
      </w:r>
    </w:p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>hourly_actual = (half_hour_1 + half_hour_2) / 2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See Also</w:t>
      </w:r>
    </w:p>
    <w:p/>
    <w:p>
      <w:pPr>
        <w:pStyle w:val="ListBullet"/>
      </w:pPr>
      <w:r>
        <w:t>**[DATA_DICTIONARY.md](DATA_DICTIONARY.md)** — Field definitions for FUELHH and WINDFOR datasets</w:t>
      </w:r>
    </w:p>
    <w:p>
      <w:pPr>
        <w:pStyle w:val="ListBullet"/>
      </w:pPr>
      <w:r>
        <w:t>**[FORECAST_METHODOLOGY.md](FORECAST_METHODOLOGY.md)** — Detailed methodology for forecast selection and metrics</w:t>
      </w:r>
    </w:p>
    <w:p>
      <w:pPr>
        <w:pStyle w:val="ListBullet"/>
      </w:pPr>
      <w:r>
        <w:t>**[API.md](API.md)** — API endpoint reference</w:t>
      </w:r>
    </w:p>
    <w:p>
      <w:pPr>
        <w:pStyle w:val="ListBullet"/>
      </w:pPr>
      <w:r>
        <w:t>**[USER_GUIDE.md](USER_GUIDE.md)** — End-user documentation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Document Version</w:t>
      </w:r>
    </w:p>
    <w:p/>
    <w:p>
      <w:r/>
      <w:r>
        <w:rPr>
          <w:b/>
        </w:rPr>
        <w:t>Version:</w:t>
      </w:r>
      <w:r>
        <w:t xml:space="preserve"> 1.0</w:t>
      </w:r>
    </w:p>
    <w:p>
      <w:r/>
      <w:r>
        <w:rPr>
          <w:b/>
        </w:rPr>
        <w:t>Last Updated:</w:t>
      </w:r>
      <w:r>
        <w:t xml:space="preserve"> 2026-10-26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