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520"/>
        <w:jc w:val="center"/>
      </w:pPr>
      <w:r>
        <w:drawing>
          <wp:inline xmlns:a="http://schemas.openxmlformats.org/drawingml/2006/main" xmlns:pic="http://schemas.openxmlformats.org/drawingml/2006/picture">
            <wp:extent cx="1655999" cy="1655999"/>
            <wp:docPr id="1" name="Picture 1"/>
            <wp:cNvGraphicFramePr>
              <a:graphicFrameLocks noChangeAspect="1"/>
            </wp:cNvGraphicFramePr>
            <a:graphic>
              <a:graphicData uri="http://schemas.openxmlformats.org/drawingml/2006/picture">
                <pic:pic>
                  <pic:nvPicPr>
                    <pic:cNvPr id="0" name="al-amad-logo.png"/>
                    <pic:cNvPicPr/>
                  </pic:nvPicPr>
                  <pic:blipFill>
                    <a:blip r:embed="rId11"/>
                    <a:stretch>
                      <a:fillRect/>
                    </a:stretch>
                  </pic:blipFill>
                  <pic:spPr>
                    <a:xfrm>
                      <a:off x="0" y="0"/>
                      <a:ext cx="1655999" cy="1655999"/>
                    </a:xfrm>
                    <a:prstGeom prst="rect"/>
                  </pic:spPr>
                </pic:pic>
              </a:graphicData>
            </a:graphic>
          </wp:inline>
        </w:drawing>
      </w:r>
    </w:p>
    <w:p>
      <w:pPr>
        <w:spacing w:before="360" w:after="60"/>
        <w:jc w:val="center"/>
        <w:bidi w:val="1"/>
      </w:pPr>
      <w:r>
        <w:rPr>
          <w:rFonts w:ascii="Noto Kufi Arabic" w:hAnsi="Noto Kufi Arabic" w:eastAsia="Noto Kufi Arabic" w:cs="Noto Kufi Arabic"/>
          <w:b/>
          <w:color w:val="0B1026"/>
          <w:sz w:val="48"/>
        </w:rPr>
        <w:t>‫منظومة المقياس‬</w:t>
      </w:r>
    </w:p>
    <w:p>
      <w:pPr>
        <w:spacing w:after="160"/>
        <w:jc w:val="center"/>
        <w:bidi w:val="1"/>
      </w:pPr>
      <w:r>
        <w:rPr>
          <w:rFonts w:ascii="Noto Kufi Arabic" w:hAnsi="Noto Kufi Arabic" w:eastAsia="Noto Kufi Arabic" w:cs="Noto Kufi Arabic"/>
          <w:b/>
          <w:color w:val="6D35E8"/>
          <w:sz w:val="40"/>
        </w:rPr>
        <w:t>‫تقرير حالة التنفيذ المحدث‬</w:t>
      </w:r>
    </w:p>
    <w:p>
      <w:pPr>
        <w:spacing w:after="360"/>
        <w:jc w:val="center"/>
        <w:bidi w:val="1"/>
      </w:pPr>
      <w:r>
        <w:rPr>
          <w:rFonts w:ascii="Noto Sans Arabic" w:hAnsi="Noto Sans Arabic" w:eastAsia="Noto Sans Arabic" w:cs="Noto Sans Arabic"/>
          <w:b w:val="0"/>
          <w:color w:val="495368"/>
          <w:sz w:val="22"/>
        </w:rPr>
        <w:t>‫مراجعة فعلية لما أُنجز وما تبقى، مبنية على الملفات والكود والمهاجرات والفحص التنفيذي‬</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‫الحكم التنفيذي‬</w:t>
            </w:r>
          </w:p>
          <w:p>
            <w:pPr>
              <w:spacing w:after="0" w:line="259" w:lineRule="auto"/>
              <w:jc w:val="right"/>
              <w:bidi w:val="1"/>
            </w:pPr>
            <w:r>
              <w:rPr>
                <w:rFonts w:ascii="Noto Sans Arabic" w:hAnsi="Noto Sans Arabic" w:eastAsia="Noto Sans Arabic" w:cs="Noto Sans Arabic"/>
                <w:b w:val="0"/>
                <w:color w:val="1D2433"/>
                <w:sz w:val="18"/>
              </w:rPr>
              <w:t>‫المشروع ليس جاهزًا للإطلاق الإنتاجي. توجد قاعدة بيانات قوية وتدفقات حقيقية للبرامج والدفعات والمتدربين، لكن لا توجد حتى الآن رحلة كاملة من القبلي إلى xAPI ثم البعدي والتقرير والشهادة. أجزاء رئيسية من الواجهة ما زالت بيانات ثابتة ومحاكاة.‬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6690"/>
        <w:gridCol w:w="3061"/>
      </w:tblGrid>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8"/>
              </w:rPr>
              <w:t>‫24 يوليو 2026‬</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8"/>
              </w:rPr>
              <w:t>‫تاريخ لقطة المراجعة‬</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8"/>
              </w:rPr>
              <w:t>‫الملفات الدلالية للمشروع مع استبعاد الاعتماديات والمخرجات المولدة‬</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8"/>
              </w:rPr>
              <w:t>‫النطاق‬</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8"/>
              </w:rPr>
              <w:t>‫قائمة مهام التنفيذ الشاملة، الإصدار 1.0‬</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8"/>
              </w:rPr>
              <w:t>‫مرجع القياس‬</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8"/>
              </w:rPr>
              <w:t>‫تقرير تدقيق الحالة 2.0‬</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8"/>
              </w:rPr>
              <w:t>‫الإصدار‬</w:t>
            </w:r>
          </w:p>
        </w:tc>
      </w:tr>
    </w:tbl>
    <w:p>
      <w:pPr>
        <w:spacing w:before="680" w:after="80" w:line="276" w:lineRule="auto"/>
        <w:jc w:val="center"/>
        <w:bidi w:val="1"/>
      </w:pPr>
      <w:r>
        <w:rPr>
          <w:rFonts w:ascii="Noto Sans Arabic" w:hAnsi="Noto Sans Arabic" w:eastAsia="Noto Sans Arabic" w:cs="Noto Sans Arabic"/>
          <w:b w:val="0"/>
          <w:color w:val="747F94"/>
          <w:sz w:val="20"/>
        </w:rPr>
        <w:t>‫شركة الأمد التقنية · مكة المكرمة‬</w:t>
      </w:r>
    </w:p>
    <w:p>
      <w:r>
        <w:br w:type="page"/>
      </w:r>
    </w:p>
    <w:p>
      <w:pPr>
        <w:spacing w:before="160" w:after="80"/>
        <w:jc w:val="right"/>
        <w:keepNext/>
        <w:bidi w:val="1"/>
      </w:pPr>
      <w:r>
        <w:rPr>
          <w:rFonts w:ascii="Noto Kufi Arabic" w:hAnsi="Noto Kufi Arabic" w:eastAsia="Noto Kufi Arabic" w:cs="Noto Kufi Arabic"/>
          <w:b/>
          <w:color w:val="0B1026"/>
          <w:sz w:val="30"/>
        </w:rPr>
        <w:t>‫1 · الخلاصة التنفيذية‬</w:t>
      </w:r>
    </w:p>
    <w:p>
      <w:pPr>
        <w:spacing w:before="0" w:after="140" w:line="276" w:lineRule="auto"/>
        <w:jc w:val="right"/>
        <w:bidi w:val="1"/>
        <w:keepNext/>
      </w:pPr>
      <w:r>
        <w:rPr>
          <w:rFonts w:ascii="Noto Sans Arabic" w:hAnsi="Noto Sans Arabic" w:eastAsia="Noto Sans Arabic" w:cs="Noto Sans Arabic"/>
          <w:b w:val="0"/>
          <w:color w:val="747F94"/>
          <w:sz w:val="18"/>
        </w:rPr>
        <w:t>‫النتيجة الصريحة قبل التفاصيل‬</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‫الحكم‬</w:t>
            </w:r>
          </w:p>
          <w:p>
            <w:pPr>
              <w:spacing w:after="0" w:line="259" w:lineRule="auto"/>
              <w:jc w:val="right"/>
              <w:bidi w:val="1"/>
            </w:pPr>
            <w:r>
              <w:rPr>
                <w:rFonts w:ascii="Noto Sans Arabic" w:hAnsi="Noto Sans Arabic" w:eastAsia="Noto Sans Arabic" w:cs="Noto Sans Arabic"/>
                <w:b w:val="0"/>
                <w:color w:val="1D2433"/>
                <w:sz w:val="18"/>
              </w:rPr>
              <w:t>‫حسب معايير الإغلاق المكتوبة في قائمة المهام، لا توجد مهمة أساسية من 0 إلى 20 مكتملة بالكامل. هذا لا يعني أن المشروع صفر؛ بل يعني أن العمل الحقيقي الحالي يتركز في قاعدة البيانات وتدفقات البرامج والمتدربين، بينما التكامليات والمحرك والتقارير والشهادات والاختبارات والنشر ما زالت مفتوحة.‬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shd w:fill="FFF0EE"/>
            <w:tcBorders>
              <w:top w:val="single" w:sz="6" w:color="B42318"/>
              <w:start w:val="single" w:sz="6" w:color="B42318"/>
              <w:bottom w:val="single" w:sz="6" w:color="B42318"/>
              <w:end w:val="single" w:sz="6" w:color="B42318"/>
            </w:tcBorders>
            <w:tcMar>
              <w:top w:w="130" w:type="dxa"/>
              <w:start w:w="110" w:type="dxa"/>
              <w:bottom w:w="130" w:type="dxa"/>
              <w:end w:w="110" w:type="dxa"/>
            </w:tcMar>
          </w:tcPr>
          <w:p>
            <w:pPr>
              <w:jc w:val="center"/>
              <w:bidi w:val="1"/>
            </w:pPr>
            <w:r>
              <w:rPr>
                <w:rFonts w:ascii="Noto Sans Arabic" w:hAnsi="Noto Sans Arabic" w:eastAsia="Noto Sans Arabic" w:cs="Noto Sans Arabic"/>
                <w:b/>
                <w:color w:val="B42318"/>
                <w:sz w:val="36"/>
              </w:rPr>
              <w:t>0</w:t>
            </w:r>
          </w:p>
          <w:p>
            <w:pPr>
              <w:spacing w:after="0"/>
              <w:jc w:val="center"/>
              <w:bidi w:val="1"/>
            </w:pPr>
            <w:r>
              <w:rPr>
                <w:rFonts w:ascii="Noto Sans Arabic" w:hAnsi="Noto Sans Arabic" w:eastAsia="Noto Sans Arabic" w:cs="Noto Sans Arabic"/>
                <w:b w:val="0"/>
                <w:color w:val="495368"/>
                <w:sz w:val="15"/>
              </w:rPr>
              <w:t>‫مهمة أساسية مغلقة بالكامل‬</w:t>
            </w:r>
          </w:p>
        </w:tc>
        <w:tc>
          <w:tcPr>
            <w:tcW w:type="dxa" w:w="2594"/>
            <w:shd w:fill="F2ECFF"/>
            <w:tcBorders>
              <w:top w:val="single" w:sz="6" w:color="6D35E8"/>
              <w:start w:val="single" w:sz="6" w:color="6D35E8"/>
              <w:bottom w:val="single" w:sz="6" w:color="6D35E8"/>
              <w:end w:val="single" w:sz="6" w:color="6D35E8"/>
            </w:tcBorders>
            <w:tcMar>
              <w:top w:w="130" w:type="dxa"/>
              <w:start w:w="110" w:type="dxa"/>
              <w:bottom w:w="130" w:type="dxa"/>
              <w:end w:w="110" w:type="dxa"/>
            </w:tcMar>
          </w:tcPr>
          <w:p>
            <w:pPr>
              <w:jc w:val="center"/>
              <w:bidi w:val="1"/>
            </w:pPr>
            <w:r>
              <w:rPr>
                <w:rFonts w:ascii="Noto Sans Arabic" w:hAnsi="Noto Sans Arabic" w:eastAsia="Noto Sans Arabic" w:cs="Noto Sans Arabic"/>
                <w:b/>
                <w:color w:val="6D35E8"/>
                <w:sz w:val="36"/>
              </w:rPr>
              <w:t>18</w:t>
            </w:r>
          </w:p>
          <w:p>
            <w:pPr>
              <w:spacing w:after="0"/>
              <w:jc w:val="center"/>
              <w:bidi w:val="1"/>
            </w:pPr>
            <w:r>
              <w:rPr>
                <w:rFonts w:ascii="Noto Sans Arabic" w:hAnsi="Noto Sans Arabic" w:eastAsia="Noto Sans Arabic" w:cs="Noto Sans Arabic"/>
                <w:b w:val="0"/>
                <w:color w:val="495368"/>
                <w:sz w:val="15"/>
              </w:rPr>
              <w:t>‫جدولًا مع RLS‬</w:t>
            </w:r>
          </w:p>
        </w:tc>
        <w:tc>
          <w:tcPr>
            <w:tcW w:type="dxa" w:w="2594"/>
            <w:shd w:fill="EAF7F0"/>
            <w:tcBorders>
              <w:top w:val="single" w:sz="6" w:color="1D8E5A"/>
              <w:start w:val="single" w:sz="6" w:color="1D8E5A"/>
              <w:bottom w:val="single" w:sz="6" w:color="1D8E5A"/>
              <w:end w:val="single" w:sz="6" w:color="1D8E5A"/>
            </w:tcBorders>
            <w:tcMar>
              <w:top w:w="130" w:type="dxa"/>
              <w:start w:w="110" w:type="dxa"/>
              <w:bottom w:w="130" w:type="dxa"/>
              <w:end w:w="110" w:type="dxa"/>
            </w:tcMar>
          </w:tcPr>
          <w:p>
            <w:pPr>
              <w:jc w:val="center"/>
              <w:bidi w:val="1"/>
            </w:pPr>
            <w:r>
              <w:rPr>
                <w:rFonts w:ascii="Noto Sans Arabic" w:hAnsi="Noto Sans Arabic" w:eastAsia="Noto Sans Arabic" w:cs="Noto Sans Arabic"/>
                <w:b/>
                <w:color w:val="1D8E5A"/>
                <w:sz w:val="36"/>
              </w:rPr>
              <w:t>34</w:t>
            </w:r>
          </w:p>
          <w:p>
            <w:pPr>
              <w:spacing w:after="0"/>
              <w:jc w:val="center"/>
              <w:bidi w:val="1"/>
            </w:pPr>
            <w:r>
              <w:rPr>
                <w:rFonts w:ascii="Noto Sans Arabic" w:hAnsi="Noto Sans Arabic" w:eastAsia="Noto Sans Arabic" w:cs="Noto Sans Arabic"/>
                <w:b w:val="0"/>
                <w:color w:val="495368"/>
                <w:sz w:val="15"/>
              </w:rPr>
              <w:t>‫سياسة RLS‬</w:t>
            </w:r>
          </w:p>
        </w:tc>
        <w:tc>
          <w:tcPr>
            <w:tcW w:type="dxa" w:w="2594"/>
            <w:shd w:fill="FFF0EE"/>
            <w:tcBorders>
              <w:top w:val="single" w:sz="6" w:color="B42318"/>
              <w:start w:val="single" w:sz="6" w:color="B42318"/>
              <w:bottom w:val="single" w:sz="6" w:color="B42318"/>
              <w:end w:val="single" w:sz="6" w:color="B42318"/>
            </w:tcBorders>
            <w:tcMar>
              <w:top w:w="130" w:type="dxa"/>
              <w:start w:w="110" w:type="dxa"/>
              <w:bottom w:w="130" w:type="dxa"/>
              <w:end w:w="110" w:type="dxa"/>
            </w:tcMar>
          </w:tcPr>
          <w:p>
            <w:pPr>
              <w:jc w:val="center"/>
              <w:bidi w:val="1"/>
            </w:pPr>
            <w:r>
              <w:rPr>
                <w:rFonts w:ascii="Noto Sans Arabic" w:hAnsi="Noto Sans Arabic" w:eastAsia="Noto Sans Arabic" w:cs="Noto Sans Arabic"/>
                <w:b/>
                <w:color w:val="B42318"/>
                <w:sz w:val="36"/>
              </w:rPr>
              <w:t>0</w:t>
            </w:r>
          </w:p>
          <w:p>
            <w:pPr>
              <w:spacing w:after="0"/>
              <w:jc w:val="center"/>
              <w:bidi w:val="1"/>
            </w:pPr>
            <w:r>
              <w:rPr>
                <w:rFonts w:ascii="Noto Sans Arabic" w:hAnsi="Noto Sans Arabic" w:eastAsia="Noto Sans Arabic" w:cs="Noto Sans Arabic"/>
                <w:b w:val="0"/>
                <w:color w:val="495368"/>
                <w:sz w:val="15"/>
              </w:rPr>
              <w:t>‫ملف اختبار آلي‬</w:t>
            </w:r>
          </w:p>
        </w:tc>
      </w:tr>
      <w:tr>
        <w:tc>
          <w:tcPr>
            <w:tcW w:type="dxa" w:w="2594"/>
            <w:shd w:fill="EAF7FB"/>
            <w:tcBorders>
              <w:top w:val="single" w:sz="6" w:color="147EA1"/>
              <w:start w:val="single" w:sz="6" w:color="147EA1"/>
              <w:bottom w:val="single" w:sz="6" w:color="147EA1"/>
              <w:end w:val="single" w:sz="6" w:color="147EA1"/>
            </w:tcBorders>
            <w:tcMar>
              <w:top w:w="130" w:type="dxa"/>
              <w:start w:w="110" w:type="dxa"/>
              <w:bottom w:w="130" w:type="dxa"/>
              <w:end w:w="110" w:type="dxa"/>
            </w:tcMar>
          </w:tcPr>
          <w:p>
            <w:pPr>
              <w:jc w:val="center"/>
              <w:bidi w:val="1"/>
            </w:pPr>
            <w:r>
              <w:rPr>
                <w:rFonts w:ascii="Noto Sans Arabic" w:hAnsi="Noto Sans Arabic" w:eastAsia="Noto Sans Arabic" w:cs="Noto Sans Arabic"/>
                <w:b/>
                <w:color w:val="147EA1"/>
                <w:sz w:val="36"/>
              </w:rPr>
              <w:t>15</w:t>
            </w:r>
          </w:p>
          <w:p>
            <w:pPr>
              <w:spacing w:after="0"/>
              <w:jc w:val="center"/>
              <w:bidi w:val="1"/>
            </w:pPr>
            <w:r>
              <w:rPr>
                <w:rFonts w:ascii="Noto Sans Arabic" w:hAnsi="Noto Sans Arabic" w:eastAsia="Noto Sans Arabic" w:cs="Noto Sans Arabic"/>
                <w:b w:val="0"/>
                <w:color w:val="495368"/>
                <w:sz w:val="15"/>
              </w:rPr>
              <w:t>‫مسارًا بُنيت بنجاح‬</w:t>
            </w:r>
          </w:p>
        </w:tc>
        <w:tc>
          <w:tcPr>
            <w:tcW w:type="dxa" w:w="2594"/>
            <w:shd w:fill="F2ECFF"/>
            <w:tcBorders>
              <w:top w:val="single" w:sz="6" w:color="6D35E8"/>
              <w:start w:val="single" w:sz="6" w:color="6D35E8"/>
              <w:bottom w:val="single" w:sz="6" w:color="6D35E8"/>
              <w:end w:val="single" w:sz="6" w:color="6D35E8"/>
            </w:tcBorders>
            <w:tcMar>
              <w:top w:w="130" w:type="dxa"/>
              <w:start w:w="110" w:type="dxa"/>
              <w:bottom w:w="130" w:type="dxa"/>
              <w:end w:w="110" w:type="dxa"/>
            </w:tcMar>
          </w:tcPr>
          <w:p>
            <w:pPr>
              <w:jc w:val="center"/>
              <w:bidi w:val="1"/>
            </w:pPr>
            <w:r>
              <w:rPr>
                <w:rFonts w:ascii="Noto Sans Arabic" w:hAnsi="Noto Sans Arabic" w:eastAsia="Noto Sans Arabic" w:cs="Noto Sans Arabic"/>
                <w:b/>
                <w:color w:val="6D35E8"/>
                <w:sz w:val="36"/>
              </w:rPr>
              <w:t>7</w:t>
            </w:r>
          </w:p>
          <w:p>
            <w:pPr>
              <w:spacing w:after="0"/>
              <w:jc w:val="center"/>
              <w:bidi w:val="1"/>
            </w:pPr>
            <w:r>
              <w:rPr>
                <w:rFonts w:ascii="Noto Sans Arabic" w:hAnsi="Noto Sans Arabic" w:eastAsia="Noto Sans Arabic" w:cs="Noto Sans Arabic"/>
                <w:b w:val="0"/>
                <w:color w:val="495368"/>
                <w:sz w:val="15"/>
              </w:rPr>
              <w:t>‫مهاجرات حالية‬</w:t>
            </w:r>
          </w:p>
        </w:tc>
        <w:tc>
          <w:tcPr>
            <w:tcW w:type="dxa" w:w="2594"/>
            <w:shd w:fill="FFF0EE"/>
            <w:tcBorders>
              <w:top w:val="single" w:sz="6" w:color="B42318"/>
              <w:start w:val="single" w:sz="6" w:color="B42318"/>
              <w:bottom w:val="single" w:sz="6" w:color="B42318"/>
              <w:end w:val="single" w:sz="6" w:color="B42318"/>
            </w:tcBorders>
            <w:tcMar>
              <w:top w:w="130" w:type="dxa"/>
              <w:start w:w="110" w:type="dxa"/>
              <w:bottom w:w="130" w:type="dxa"/>
              <w:end w:w="110" w:type="dxa"/>
            </w:tcMar>
          </w:tcPr>
          <w:p>
            <w:pPr>
              <w:jc w:val="center"/>
              <w:bidi w:val="1"/>
            </w:pPr>
            <w:r>
              <w:rPr>
                <w:rFonts w:ascii="Noto Sans Arabic" w:hAnsi="Noto Sans Arabic" w:eastAsia="Noto Sans Arabic" w:cs="Noto Sans Arabic"/>
                <w:b/>
                <w:color w:val="B42318"/>
                <w:sz w:val="36"/>
              </w:rPr>
              <w:t>0</w:t>
            </w:r>
          </w:p>
          <w:p>
            <w:pPr>
              <w:spacing w:after="0"/>
              <w:jc w:val="center"/>
              <w:bidi w:val="1"/>
            </w:pPr>
            <w:r>
              <w:rPr>
                <w:rFonts w:ascii="Noto Sans Arabic" w:hAnsi="Noto Sans Arabic" w:eastAsia="Noto Sans Arabic" w:cs="Noto Sans Arabic"/>
                <w:b w:val="0"/>
                <w:color w:val="495368"/>
                <w:sz w:val="15"/>
              </w:rPr>
              <w:t>‫مسار app/api‬</w:t>
            </w:r>
          </w:p>
        </w:tc>
        <w:tc>
          <w:tcPr>
            <w:tcW w:type="dxa" w:w="2594"/>
            <w:shd w:fill="F5F6F9"/>
            <w:tcBorders>
              <w:top w:val="single" w:sz="6" w:color="495368"/>
              <w:start w:val="single" w:sz="6" w:color="495368"/>
              <w:bottom w:val="single" w:sz="6" w:color="495368"/>
              <w:end w:val="single" w:sz="6" w:color="495368"/>
            </w:tcBorders>
            <w:tcMar>
              <w:top w:w="130" w:type="dxa"/>
              <w:start w:w="110" w:type="dxa"/>
              <w:bottom w:w="130" w:type="dxa"/>
              <w:end w:w="110" w:type="dxa"/>
            </w:tcMar>
          </w:tcPr>
          <w:p>
            <w:pPr>
              <w:jc w:val="center"/>
              <w:bidi w:val="1"/>
            </w:pPr>
            <w:r>
              <w:rPr>
                <w:rFonts w:ascii="Noto Sans Arabic" w:hAnsi="Noto Sans Arabic" w:eastAsia="Noto Sans Arabic" w:cs="Noto Sans Arabic"/>
                <w:b/>
                <w:color w:val="495368"/>
                <w:sz w:val="36"/>
              </w:rPr>
              <w:t>91</w:t>
            </w:r>
          </w:p>
          <w:p>
            <w:pPr>
              <w:spacing w:after="0"/>
              <w:jc w:val="center"/>
              <w:bidi w:val="1"/>
            </w:pPr>
            <w:r>
              <w:rPr>
                <w:rFonts w:ascii="Noto Sans Arabic" w:hAnsi="Noto Sans Arabic" w:eastAsia="Noto Sans Arabic" w:cs="Noto Sans Arabic"/>
                <w:b w:val="0"/>
                <w:color w:val="495368"/>
                <w:sz w:val="15"/>
              </w:rPr>
              <w:t>‫ملفًا دلاليًا في نطاق الجرد‬</w:t>
            </w:r>
          </w:p>
        </w:tc>
      </w:tr>
    </w:tbl>
    <w:p/>
    <w:p>
      <w:pPr>
        <w:spacing w:before="100" w:after="60"/>
        <w:jc w:val="right"/>
        <w:keepNext/>
        <w:bidi w:val="1"/>
      </w:pPr>
      <w:r>
        <w:rPr>
          <w:rFonts w:ascii="Noto Kufi Arabic" w:hAnsi="Noto Kufi Arabic" w:eastAsia="Noto Kufi Arabic" w:cs="Noto Kufi Arabic"/>
          <w:b/>
          <w:color w:val="6D35E8"/>
          <w:sz w:val="21"/>
        </w:rPr>
        <w:t>‫ما هو حقيقي الآن‬</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‫مصادقة Supabase بكلمة مرور، حماية المسارات، وتسجيل خروج.‬</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‫قاعدة بيانات إنتاجية التصميم تضم 18 جدولًا وقيودًا مركبة وRLS.‬</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‫إنشاء وتعديل برامج ودفعات مسودة عبر RPCs ذرية مع Audit Log.‬</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‫إنشاء متدرب وتسجيله وتعديل ملفه، ومعرف AMD-XXXXX موحد.‬</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‫صفحة متدرب داخلية تقرأ الأدلة الفعلية فقط، وQR فعلي.‬</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‫صفحة /t/[traineeCode] عامة تقرأ حالة فعلية دون بيانات شخصية.‬</w:t>
      </w:r>
    </w:p>
    <w:p>
      <w:pPr>
        <w:spacing w:before="100" w:after="60"/>
        <w:jc w:val="right"/>
        <w:keepNext/>
        <w:bidi w:val="1"/>
      </w:pPr>
      <w:r>
        <w:rPr>
          <w:rFonts w:ascii="Noto Kufi Arabic" w:hAnsi="Noto Kufi Arabic" w:eastAsia="Noto Kufi Arabic" w:cs="Noto Kufi Arabic"/>
          <w:b/>
          <w:color w:val="6D35E8"/>
          <w:sz w:val="21"/>
        </w:rPr>
        <w:t>‫ما هو محاكاة أو غير موجود‬</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‫لوحة التحكم والجلسات الحية والتقارير والشهادات والتحقق العام وإدارة الجهات والإعدادات والحساب وغرفة الدفعة.‬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‫Jotform Webhook وReconciliation والتصحيح.‬</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‫POST /api/xapi وإدارة مفاتيح الجهات والبث الحي.‬</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‫محرك القياس والأثر وإصدار الشهادة.‬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‫Unit وIntegration وRLS وE2E وCI.‬</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‫دومين إنتاجي موثق وPilot ونسخ احتياطي مجرب وPDPL وRunbooks.‬</w:t>
      </w:r>
    </w:p>
    <w:p>
      <w:pPr>
        <w:spacing w:before="160" w:after="80"/>
        <w:jc w:val="right"/>
        <w:keepNext/>
        <w:bidi w:val="1"/>
      </w:pPr>
      <w:r>
        <w:rPr>
          <w:rFonts w:ascii="Noto Kufi Arabic" w:hAnsi="Noto Kufi Arabic" w:eastAsia="Noto Kufi Arabic" w:cs="Noto Kufi Arabic"/>
          <w:b/>
          <w:color w:val="0B1026"/>
          <w:sz w:val="30"/>
        </w:rPr>
        <w:t>‫2 · نطاق المراجعة وطريقتها‬</w:t>
      </w:r>
    </w:p>
    <w:p>
      <w:pPr>
        <w:spacing w:before="0" w:after="140" w:line="276" w:lineRule="auto"/>
        <w:jc w:val="right"/>
        <w:bidi w:val="1"/>
        <w:keepNext/>
      </w:pPr>
      <w:r>
        <w:rPr>
          <w:rFonts w:ascii="Noto Sans Arabic" w:hAnsi="Noto Sans Arabic" w:eastAsia="Noto Sans Arabic" w:cs="Noto Sans Arabic"/>
          <w:b w:val="0"/>
          <w:color w:val="747F94"/>
          <w:sz w:val="18"/>
        </w:rPr>
        <w:t>‫ما قُرئ، وما استُبعد، وما تم التحقق منه‬</w:t>
      </w:r>
    </w:p>
    <w:p>
      <w:pPr>
        <w:spacing w:before="100" w:after="60"/>
        <w:jc w:val="right"/>
        <w:keepNext/>
        <w:bidi w:val="1"/>
      </w:pPr>
      <w:r>
        <w:rPr>
          <w:rFonts w:ascii="Noto Kufi Arabic" w:hAnsi="Noto Kufi Arabic" w:eastAsia="Noto Kufi Arabic" w:cs="Noto Kufi Arabic"/>
          <w:b/>
          <w:color w:val="6D35E8"/>
          <w:sz w:val="21"/>
        </w:rPr>
        <w:t>‫نطاق الملفات‬</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‫الوثيقتان المرجعيتان PDF وDOCX: قائمة مهام التنفيذ، والدليل التعليمي والتقني.‬</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‫سيناريو تهيئة الموظفين الجدد كاملًا.‬</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‫حزمة التسليم al-miqyas-handoff ووثائق brief وarchitecture وschema وroadmap وintegrations والنموذج الأولي.‬</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‫تطبيق al-miqyas الحالي: المسارات والمكونات والإعدادات والأصول وملفات البيئة بأسماء المفاتيح فقط.‬</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‫جميع المهاجرات الحالية 001 إلى 007 وسياسات RLS وRPCs.‬</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‫ملفات DESIGN وPROJECT_DECISIONS وWRITING_DIRECTION_GUIDE وملفات HANDOVER.‬</w:t>
      </w:r>
    </w:p>
    <w:p>
      <w:pPr>
        <w:spacing w:before="100" w:after="60"/>
        <w:jc w:val="right"/>
        <w:keepNext/>
        <w:bidi w:val="1"/>
      </w:pPr>
      <w:r>
        <w:rPr>
          <w:rFonts w:ascii="Noto Kufi Arabic" w:hAnsi="Noto Kufi Arabic" w:eastAsia="Noto Kufi Arabic" w:cs="Noto Kufi Arabic"/>
          <w:b/>
          <w:color w:val="6D35E8"/>
          <w:sz w:val="21"/>
        </w:rPr>
        <w:t>‫الاستبعادات المنهجية‬</w:t>
      </w:r>
    </w:p>
    <w:p>
      <w:pPr>
        <w:spacing w:before="0" w:after="80" w:line="276" w:lineRule="auto"/>
        <w:jc w:val="right"/>
        <w:bidi w:val="1"/>
      </w:pPr>
      <w:r>
        <w:rPr>
          <w:rFonts w:ascii="Noto Sans Arabic" w:hAnsi="Noto Sans Arabic" w:eastAsia="Noto Sans Arabic" w:cs="Noto Sans Arabic"/>
          <w:b w:val="0"/>
          <w:color w:val="495368"/>
          <w:sz w:val="18"/>
        </w:rPr>
        <w:t>‫لم تُعامل node_modules و.next وملفات البناء وtsconfig.tsbuildinfo وحزم الطرف الثالث الكبيرة داخل ChatGPT كتنفيذ للمنتج. تم جردها وتصنيفها كمخرجات مولدة أو مكتبات خارجية. كما عوملت النسخة ZIP والنسخة المكررة من al-miqyas-v2.jsx كأرشيفات مطابقة، لا كتنفيذ إضافي.‬</w:t>
      </w:r>
    </w:p>
    <w:p>
      <w:pPr>
        <w:spacing w:before="100" w:after="60"/>
        <w:jc w:val="right"/>
        <w:keepNext/>
        <w:bidi w:val="1"/>
      </w:pPr>
      <w:r>
        <w:rPr>
          <w:rFonts w:ascii="Noto Kufi Arabic" w:hAnsi="Noto Kufi Arabic" w:eastAsia="Noto Kufi Arabic" w:cs="Noto Kufi Arabic"/>
          <w:b/>
          <w:color w:val="6D35E8"/>
          <w:sz w:val="21"/>
        </w:rPr>
        <w:t>‫التحقق التنفيذي بتاريخ 24 يوليو 2026‬</w:t>
      </w:r>
    </w:p>
    <w:tbl>
      <w:tblPr>
        <w:tblW w:type="auto" w:w="0"/>
        <w:jc w:val="center"/>
        <w:tblLayout w:type="fixed"/>
        <w:tblLook w:firstColumn="1" w:firstRow="1" w:lastColumn="0" w:lastRow="0" w:noHBand="0" w:noVBand="1" w:val="04A0"/>
      </w:tblPr>
      <w:tblGrid>
        <w:gridCol w:w="2268"/>
        <w:gridCol w:w="1247"/>
        <w:gridCol w:w="4082"/>
        <w:gridCol w:w="2268"/>
      </w:tblGrid>
      <w:tr>
        <w:trPr>
          <w:tblHeader w:val="true"/>
        </w:trPr>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‫الفحص‬</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‫النتيجة‬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‫الدليل‬</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‫الحكم‬</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‫typecheck‬</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D8E5A"/>
                <w:sz w:val="16"/>
              </w:rPr>
              <w:t>‫نجح‬</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‫tsc --noEmit‬</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1D8E5A"/>
                <w:sz w:val="16"/>
              </w:rPr>
              <w:t>‫مثبت‬</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‫build‬</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D8E5A"/>
                <w:sz w:val="16"/>
              </w:rPr>
              <w:t>‫نجح‬</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‫Next.js production build، 15 مسارًا‬</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1D8E5A"/>
                <w:sz w:val="16"/>
              </w:rPr>
              <w:t>‫مثبت‬</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‫/login‬</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D8E5A"/>
                <w:sz w:val="16"/>
              </w:rPr>
              <w:t>‫200‬</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‫صفحة عامة سليمة‬</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1D8E5A"/>
                <w:sz w:val="16"/>
              </w:rPr>
              <w:t>‫مثبت‬</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‫/dashboard‬</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D8E5A"/>
                <w:sz w:val="16"/>
              </w:rPr>
              <w:t>‫307‬</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‫إعادة توجيه صحيحة إلى login عند عدم المصادقة‬</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1D8E5A"/>
                <w:sz w:val="16"/>
              </w:rPr>
              <w:t>‫مثبت‬</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‫/t/AMD-AAAAA‬</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D8E5A"/>
                <w:sz w:val="16"/>
              </w:rPr>
              <w:t>‫200‬</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‫المسار العام يعمل ويعرض حالة عدم العثور‬</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1D8E5A"/>
                <w:sz w:val="16"/>
              </w:rPr>
              <w:t>‫مثبت‬</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‫/verify/TEST‬</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‫200‬</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‫يعمل، لكنه صفحة محاكاة‬</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A96B00"/>
                <w:sz w:val="16"/>
              </w:rPr>
              <w:t>‫جزئي‬</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‫Supabase RPC‬</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D8E5A"/>
                <w:sz w:val="16"/>
              </w:rPr>
              <w:t>‫200‬</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‫get_public_trainee_route موجودة فعليًا وأعادت [] لرمز وهمي‬</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1D8E5A"/>
                <w:sz w:val="16"/>
              </w:rPr>
              <w:t>‫مثبت‬</w:t>
            </w:r>
          </w:p>
        </w:tc>
      </w:tr>
      <w:tr>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‫Supabase OpenAPI‬</w:t>
            </w:r>
          </w:p>
        </w:tc>
        <w:tc>
          <w:tcPr>
            <w:tcW w:type="dxa" w:w="124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495368"/>
                <w:sz w:val="16"/>
              </w:rPr>
              <w:t>‫401‬</w:t>
            </w:r>
          </w:p>
        </w:tc>
        <w:tc>
          <w:tcPr>
            <w:tcW w:type="dxa" w:w="408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‫لم يُسمح بجرد المخطط عبر المفتاح العام‬</w:t>
            </w:r>
          </w:p>
        </w:tc>
        <w:tc>
          <w:tcPr>
            <w:tcW w:type="dxa" w:w="226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val="0"/>
                <w:color w:val="495368"/>
                <w:sz w:val="16"/>
              </w:rPr>
              <w:t>‫قيد الصلاحية‬</w:t>
            </w:r>
          </w:p>
        </w:tc>
      </w:tr>
    </w:tbl>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‫حدود الإثبات‬</w:t>
            </w:r>
          </w:p>
          <w:p>
            <w:pPr>
              <w:spacing w:after="0" w:line="259" w:lineRule="auto"/>
              <w:jc w:val="right"/>
              <w:bidi w:val="1"/>
            </w:pPr>
            <w:r>
              <w:rPr>
                <w:rFonts w:ascii="Noto Sans Arabic" w:hAnsi="Noto Sans Arabic" w:eastAsia="Noto Sans Arabic" w:cs="Noto Sans Arabic"/>
                <w:b w:val="0"/>
                <w:color w:val="1D2433"/>
                <w:sz w:val="18"/>
              </w:rPr>
              <w:t>‫لم تُستخدم بيانات اعتماد مستخدم حقيقي، ولم تُنفذ أي كتابة في Supabase أثناء التدقيق. لذلك تم إثبات السطح العام والبناء والحماية الأساسية، لكن لا يمكن اعتبار بيانات الإنتاج أو ملكية الحسابات أو عزل جهتين مختبرًا حاليًا.‬</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pPr>
        <w:spacing w:before="160" w:after="80"/>
        <w:jc w:val="right"/>
        <w:keepNext/>
        <w:bidi w:val="1"/>
      </w:pPr>
      <w:r>
        <w:rPr>
          <w:rFonts w:ascii="Noto Kufi Arabic" w:hAnsi="Noto Kufi Arabic" w:eastAsia="Noto Kufi Arabic" w:cs="Noto Kufi Arabic"/>
          <w:b/>
          <w:color w:val="0B1026"/>
          <w:sz w:val="30"/>
        </w:rPr>
        <w:t>‫3 · الخريطة العامة المحدثة‬</w:t>
      </w:r>
    </w:p>
    <w:p>
      <w:pPr>
        <w:spacing w:before="0" w:after="140" w:line="276" w:lineRule="auto"/>
        <w:jc w:val="right"/>
        <w:bidi w:val="1"/>
        <w:keepNext/>
      </w:pPr>
      <w:r>
        <w:rPr>
          <w:rFonts w:ascii="Noto Sans Arabic" w:hAnsi="Noto Sans Arabic" w:eastAsia="Noto Sans Arabic" w:cs="Noto Sans Arabic"/>
          <w:b w:val="0"/>
          <w:color w:val="747F94"/>
          <w:sz w:val="18"/>
        </w:rPr>
        <w:t>‫الحالة وفق معيار الإغلاق الأصلي، لا وفق الانطباع البصري‬</w:t>
      </w:r>
    </w:p>
    <w:tbl>
      <w:tblPr>
        <w:tblW w:type="auto" w:w="0"/>
        <w:jc w:val="center"/>
        <w:tblLayout w:type="fixed"/>
        <w:tblLook w:firstColumn="1" w:firstRow="1" w:lastColumn="0" w:lastRow="0" w:noHBand="0" w:noVBand="1" w:val="04A0"/>
      </w:tblPr>
      <w:tblGrid>
        <w:gridCol w:w="567"/>
        <w:gridCol w:w="3628"/>
        <w:gridCol w:w="1871"/>
        <w:gridCol w:w="2494"/>
        <w:gridCol w:w="1757"/>
      </w:tblGrid>
      <w:tr>
        <w:trPr>
          <w:tblHeader w:val="true"/>
        </w:trPr>
        <w:tc>
          <w:tcPr>
            <w:tcW w:type="dxa" w:w="2075"/>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‫رقم‬</w:t>
            </w:r>
          </w:p>
        </w:tc>
        <w:tc>
          <w:tcPr>
            <w:tcW w:type="dxa" w:w="2075"/>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‫المهمة‬</w:t>
            </w:r>
          </w:p>
        </w:tc>
        <w:tc>
          <w:tcPr>
            <w:tcW w:type="dxa" w:w="2075"/>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075"/>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‫نوع الموجود‬</w:t>
            </w:r>
          </w:p>
        </w:tc>
        <w:tc>
          <w:tcPr>
            <w:tcW w:type="dxa" w:w="2075"/>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‫قرار الإغلاق‬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‫0‬</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‫حسم النطاق والقرارات قبل البرمجة‬</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‫جزئي موثق‬</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‫1‬</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‫الحسابات والبنية التحتية المملوكة للأمد‬</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‫جزئي وغير متحقق خارجيًا‬</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‫2‬</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‫تهيئة المستودع ومعايير التطوير‬</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‫جزئي حقيقي‬</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‫3‬</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‫تصميم قاعدة البيانات وتنفيذ المهاجرات‬</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‫متقدم لكنه غير مغلق‬</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‫4‬</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‫تسجيل الدخول وتعدد الجهات والصلاحيات‬</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‫جزئي حقيقي‬</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‫5‬</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‫إدارة الجهات والهوية البصرية‬</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‫هيكل قاعدة وواجهة محاكاة‬</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‫6‬</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‫البرامج والدفعات والتسجيلات‬</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‫جزئي حقيقي‬</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‫7‬</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‫المتدرب والمعرف الموحد وQR‬</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‫جزئي حقيقي‬</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‫8‬</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‫تكامل Jotform‬</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‫لم يبدأ تشغيليًا‬</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‫9‬</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‫تكامل xAPI والأداء اللحظي‬</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‫لم يبدأ تشغيليًا‬</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‫10‬</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‫محرك التصحيح والقياس والأثر‬</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‫هيكل بيانات فقط‬</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‫11‬</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‫الواجهات ولوحات التحكم‬</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‫مختلط: حقيقي ومحاكاة‬</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‫12‬</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‫التقارير الفردية والجماعية‬</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 مع جداول جاهزة‬</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‫13‬</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‫الشهادات والتحقق‬</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‫هيكل قوي وواجهة محاكاة‬</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‫14‬</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‫الأمان والخصوصية والامتثال‬</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‫أساس جزئي‬</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‫15‬</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‫المراقبة والتشغيل والدعم‬</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‫بداية محدودة‬</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‫16‬</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‫الاختبارات وضمان الجودة‬</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منفذ كمنظومة QA‬</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‫17‬</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‫ترحيل البيانات والاستعداد للتجربة‬</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‫لم يبدأ‬</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‫18‬</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‫النشر الإنتاجي‬</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مثبت‬</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‫19‬</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‫التجربة الميدانية وقياس النجاح‬</w:t>
            </w:r>
          </w:p>
        </w:tc>
        <w:tc>
          <w:tcPr>
            <w:tcW w:type="dxa" w:w="187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‫لم تبدأ‬</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‫هيكل أو محاكاة أو غياب‬</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‫20‬</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‫التوثيق والتسليم ونقل الملكية‬</w:t>
            </w:r>
          </w:p>
        </w:tc>
        <w:tc>
          <w:tcPr>
            <w:tcW w:type="dxa" w:w="187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‫جزئي‬</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‫كود/قاعدة حقيقية جزئيًا‬</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‫غير مغلق‬</w:t>
            </w:r>
          </w:p>
        </w:tc>
      </w:tr>
      <w:tr>
        <w:tc>
          <w:tcPr>
            <w:tcW w:type="dxa" w:w="56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6"/>
              </w:rPr>
              <w:t>‫21‬</w:t>
            </w:r>
          </w:p>
        </w:tc>
        <w:tc>
          <w:tcPr>
            <w:tcW w:type="dxa" w:w="362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‫ما بعد الإطلاق والـBacklog‬</w:t>
            </w:r>
          </w:p>
        </w:tc>
        <w:tc>
          <w:tcPr>
            <w:tcW w:type="dxa" w:w="1871"/>
            <w:vAlign w:val="center"/>
            <w:tcMar>
              <w:top w:w="90" w:type="dxa"/>
              <w:start w:w="110" w:type="dxa"/>
              <w:bottom w:w="90" w:type="dxa"/>
              <w:end w:w="110" w:type="dxa"/>
            </w:tcMar>
            <w:shd w:fill="EAF7FB"/>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5"/>
              </w:rPr>
              <w:t>‫مؤجل كما ينبغي‬</w:t>
            </w:r>
          </w:p>
        </w:tc>
        <w:tc>
          <w:tcPr>
            <w:tcW w:type="dxa" w:w="24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‫مؤجل بعد MVP‬</w:t>
            </w:r>
          </w:p>
        </w:tc>
        <w:tc>
          <w:tcPr>
            <w:tcW w:type="dxa" w:w="175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5"/>
              </w:rPr>
              <w:t>‫مؤجل‬</w:t>
            </w:r>
          </w:p>
        </w:tc>
      </w:tr>
    </w:tbl>
    <w:tbl>
      <w:tblPr>
        <w:tblW w:type="auto" w:w="0"/>
        <w:jc w:val="center"/>
        <w:tblLayout w:type="fixed"/>
        <w:tblLook w:firstColumn="1" w:firstRow="1" w:lastColumn="0" w:lastRow="0" w:noHBand="0" w:noVBand="1" w:val="04A0"/>
      </w:tblPr>
      <w:tblGrid>
        <w:gridCol w:w="9638"/>
        <w:gridCol w:w="312"/>
      </w:tblGrid>
      <w:tr>
        <w:tc>
          <w:tcPr>
            <w:tcW w:type="dxa" w:w="5188"/>
            <w:shd w:fill="F5F6F9"/>
            <w:tcBorders>
              <w:top w:val="single" w:sz="4" w:color="495368"/>
              <w:start w:val="single" w:sz="4" w:color="495368"/>
              <w:bottom w:val="single" w:sz="4" w:color="49536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495368"/>
                <w:sz w:val="19"/>
              </w:rPr>
              <w:t>‫قراءة الجدول‬</w:t>
            </w:r>
          </w:p>
          <w:p>
            <w:pPr>
              <w:spacing w:after="0" w:line="259" w:lineRule="auto"/>
              <w:jc w:val="right"/>
              <w:bidi w:val="1"/>
            </w:pPr>
            <w:r>
              <w:rPr>
                <w:rFonts w:ascii="Noto Sans Arabic" w:hAnsi="Noto Sans Arabic" w:eastAsia="Noto Sans Arabic" w:cs="Noto Sans Arabic"/>
                <w:b w:val="0"/>
                <w:color w:val="1D2433"/>
                <w:sz w:val="18"/>
              </w:rPr>
              <w:t>‫وجود جداول أو واجهة لا يساوي اكتمال المهمة. اعتُمد الإغلاق فقط عندما تتحقق جميع عناصر المهمة ومعيار القبول والاختبار الوارد في الوثيقة الأصلية.‬</w:t>
            </w:r>
          </w:p>
        </w:tc>
        <w:tc>
          <w:tcPr>
            <w:tcW w:type="dxa" w:w="5188"/>
            <w:shd w:fill="495368"/>
            <w:tcBorders>
              <w:top w:val="single" w:sz="4" w:color="495368"/>
              <w:start w:val="nil"/>
              <w:bottom w:val="single" w:sz="4" w:color="495368"/>
              <w:end w:val="single" w:sz="4" w:color="495368"/>
            </w:tcBorders>
            <w:tcMar>
              <w:top w:w="0" w:type="dxa"/>
              <w:start w:w="0" w:type="dxa"/>
              <w:bottom w:w="0" w:type="dxa"/>
              <w:end w:w="0" w:type="dxa"/>
            </w:tcMar>
          </w:tcPr>
          <w:p/>
        </w:tc>
      </w:tr>
    </w:tbl>
    <w:p>
      <w:pPr>
        <w:spacing w:after="0"/>
      </w:pPr>
    </w:p>
    <w:p>
      <w:pPr>
        <w:spacing w:before="160" w:after="80"/>
        <w:jc w:val="right"/>
        <w:keepNext/>
        <w:bidi w:val="1"/>
      </w:pPr>
      <w:r>
        <w:rPr>
          <w:rFonts w:ascii="Noto Kufi Arabic" w:hAnsi="Noto Kufi Arabic" w:eastAsia="Noto Kufi Arabic" w:cs="Noto Kufi Arabic"/>
          <w:b/>
          <w:color w:val="0B1026"/>
          <w:sz w:val="30"/>
        </w:rPr>
        <w:t>‫4 · خريطة الحقيقي مقابل المحاكاة‬</w:t>
      </w:r>
    </w:p>
    <w:p>
      <w:pPr>
        <w:spacing w:before="0" w:after="140" w:line="276" w:lineRule="auto"/>
        <w:jc w:val="right"/>
        <w:bidi w:val="1"/>
        <w:keepNext/>
      </w:pPr>
      <w:r>
        <w:rPr>
          <w:rFonts w:ascii="Noto Sans Arabic" w:hAnsi="Noto Sans Arabic" w:eastAsia="Noto Sans Arabic" w:cs="Noto Sans Arabic"/>
          <w:b w:val="0"/>
          <w:color w:val="747F94"/>
          <w:sz w:val="18"/>
        </w:rPr>
        <w:t>‫المسارات التي يجوز الاعتماد عليها، والمسارات التي لا يجوز عرضها كإنتاج‬</w:t>
      </w:r>
    </w:p>
    <w:tbl>
      <w:tblPr>
        <w:tblW w:type="auto" w:w="0"/>
        <w:jc w:val="center"/>
        <w:tblLayout w:type="fixed"/>
        <w:tblLook w:firstColumn="1" w:firstRow="1" w:lastColumn="0" w:lastRow="0" w:noHBand="0" w:noVBand="1" w:val="04A0"/>
      </w:tblPr>
      <w:tblGrid>
        <w:gridCol w:w="2324"/>
        <w:gridCol w:w="1531"/>
        <w:gridCol w:w="3572"/>
        <w:gridCol w:w="2891"/>
      </w:tblGrid>
      <w:tr>
        <w:trPr>
          <w:tblHeader w:val="true"/>
        </w:trPr>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‫المسار‬</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‫ما يفعله‬</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‫الفجوة‬</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‫/login‬</w:t>
            </w:r>
          </w:p>
        </w:tc>
        <w:tc>
          <w:tcPr>
            <w:tcW w:type="dxa" w:w="1531"/>
            <w:vAlign w:val="center"/>
            <w:tcMar>
              <w:top w:w="90" w:type="dxa"/>
              <w:start w:w="110" w:type="dxa"/>
              <w:bottom w:w="90" w:type="dxa"/>
              <w:end w:w="110" w:type="dxa"/>
            </w:tcMar>
            <w:shd w:fill="EAF7F0"/>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D8E5A"/>
                <w:sz w:val="15"/>
              </w:rPr>
              <w:t>‫حقيقي‬</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‫Supabase signInWithPassword‬</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يزال قرار OTP متعارضًا‬</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‫/programs‬</w:t>
            </w:r>
          </w:p>
        </w:tc>
        <w:tc>
          <w:tcPr>
            <w:tcW w:type="dxa" w:w="153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‫حقيقي جزئي‬</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‫قراءة وإنشاء وتعديل برامج ودفعات مسودة‬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نشر ولا تكاملات‬</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‫/trainees‬</w:t>
            </w:r>
          </w:p>
        </w:tc>
        <w:tc>
          <w:tcPr>
            <w:tcW w:type="dxa" w:w="153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‫حقيقي جزئي‬</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‫CRUD متدرب وتسجيل في دفعة‬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CSV ولا موافقة PDPL‬</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‫/trainees/[code]‬</w:t>
            </w:r>
          </w:p>
        </w:tc>
        <w:tc>
          <w:tcPr>
            <w:tcW w:type="dxa" w:w="153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‫حقيقي جزئي‬</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‫قراءة الأدلة وQR‬</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محرك أثر‬</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‫/t/[traineeCode]‬</w:t>
            </w:r>
          </w:p>
        </w:tc>
        <w:tc>
          <w:tcPr>
            <w:tcW w:type="dxa" w:w="1531"/>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5"/>
              </w:rPr>
              <w:t>‫حقيقي جزئي‬</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‫RPC عامة وتوجيه حسب الحالة‬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‫مشكلة تعدد التسجيلات وRate Limiting‬</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‫/dashboard‬</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‫أرقام وأسماء ثابتة‬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يجوز اعتباره Dashboard فعليًا‬</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‫/sessions‬</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‫أحداث xAPI ثابتة‬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endpoint ولا بث‬</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‫/reports‬</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‫قيم تاريخية ثابتة‬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حساب ولا إصدار‬</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‫/certificates‬</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‫إصدار بصري فقط‬</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إصدار أو إلغاء حقيقي‬</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‫/verify/[verifyCode]‬</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‫حالات ثابتة valid/revoked/notfound‬</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قراءة من certificates‬</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‫/organizations‬</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‫جهات وأعضاء ثابتون‬</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إدارة جهة أو دعوات‬</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‫/settings و/account‬</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‫إعدادات وهوية مستخدم ثابتة‬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‫تتضمن نصًا قديمًا يناقض الاتصال الحالي‬</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‫/cohorts/[id]/run‬</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‫12 مشاركًا وأحداث محلية‬</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دفعة فعلية‬</w:t>
            </w:r>
          </w:p>
        </w:tc>
      </w:tr>
      <w:tr>
        <w:tc>
          <w:tcPr>
            <w:tcW w:type="dxa" w:w="232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‫/register‬</w:t>
            </w:r>
          </w:p>
        </w:tc>
        <w:tc>
          <w:tcPr>
            <w:tcW w:type="dxa" w:w="1531"/>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5"/>
              </w:rPr>
              <w:t>‫محاكاة‬</w:t>
            </w:r>
          </w:p>
        </w:tc>
        <w:tc>
          <w:tcPr>
            <w:tcW w:type="dxa" w:w="3572"/>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‫استلام طلب تجريبي‬</w:t>
            </w:r>
          </w:p>
        </w:tc>
        <w:tc>
          <w:tcPr>
            <w:tcW w:type="dxa" w:w="2891"/>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‫لا حساب أو دعوة‬</w:t>
            </w:r>
          </w:p>
        </w:tc>
      </w:tr>
    </w:tbl>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‫مخاطرة إطلاق عالية‬</w:t>
            </w:r>
          </w:p>
          <w:p>
            <w:pPr>
              <w:spacing w:after="0" w:line="259" w:lineRule="auto"/>
              <w:jc w:val="right"/>
              <w:bidi w:val="1"/>
            </w:pPr>
            <w:r>
              <w:rPr>
                <w:rFonts w:ascii="Noto Sans Arabic" w:hAnsi="Noto Sans Arabic" w:eastAsia="Noto Sans Arabic" w:cs="Noto Sans Arabic"/>
                <w:b w:val="0"/>
                <w:color w:val="1D2433"/>
                <w:sz w:val="18"/>
              </w:rPr>
              <w:t>‫الغلاف الحالي يجمع صفحات حقيقية مع صفحات محاكاة تحت نفس التنقل وبنفس الهوية. إذا عُرض هذا على عميل أو استخدم في Pilot دون وسم صارم، فسيفهم المستخدم أن البيانات الحية والتقارير والشهادات تعمل بينما هي لا تعمل.‬</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pPr>
        <w:spacing w:before="160" w:after="80"/>
        <w:jc w:val="right"/>
        <w:keepNext/>
        <w:bidi w:val="1"/>
      </w:pPr>
      <w:r>
        <w:rPr>
          <w:rFonts w:ascii="Noto Kufi Arabic" w:hAnsi="Noto Kufi Arabic" w:eastAsia="Noto Kufi Arabic" w:cs="Noto Kufi Arabic"/>
          <w:b/>
          <w:color w:val="0B1026"/>
          <w:sz w:val="30"/>
        </w:rPr>
        <w:t>‫5 · مراجعة القاعدة والكود‬</w:t>
      </w:r>
    </w:p>
    <w:p>
      <w:pPr>
        <w:spacing w:before="0" w:after="140" w:line="276" w:lineRule="auto"/>
        <w:jc w:val="right"/>
        <w:bidi w:val="1"/>
        <w:keepNext/>
      </w:pPr>
      <w:r>
        <w:rPr>
          <w:rFonts w:ascii="Noto Sans Arabic" w:hAnsi="Noto Sans Arabic" w:eastAsia="Noto Sans Arabic" w:cs="Noto Sans Arabic"/>
          <w:b w:val="0"/>
          <w:color w:val="747F94"/>
          <w:sz w:val="18"/>
        </w:rPr>
        <w:t>‫نقاط القوة والعيوب التي تؤثر في التنفيذ‬</w:t>
      </w:r>
    </w:p>
    <w:p>
      <w:pPr>
        <w:spacing w:before="100" w:after="60"/>
        <w:jc w:val="right"/>
        <w:keepNext/>
        <w:bidi w:val="1"/>
      </w:pPr>
      <w:r>
        <w:rPr>
          <w:rFonts w:ascii="Noto Kufi Arabic" w:hAnsi="Noto Kufi Arabic" w:eastAsia="Noto Kufi Arabic" w:cs="Noto Kufi Arabic"/>
          <w:b/>
          <w:color w:val="6D35E8"/>
          <w:sz w:val="21"/>
        </w:rPr>
        <w:t>‫قاعدة البيانات‬</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‫الانتقال من Schema الحزمة القديمة إلى migrations الحالية أصلح جداول cohorts وenrollments وcohort_reports وwebhook_ingestions وstatement_id والقيود المركبة.‬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‫العزل عبر org_id مدعوم بمفاتيح خارجية مركبة، وهذا أقوى من الاعتماد على RLS وحدها.‬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‫RLS مفعلة على جميع الجداول الثمانية عشر، والسياسات الحالية لا تمنح viewer كتابة.‬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‫خامات التكامل والأثر والشهادات صُممت بإصدارات وIdempotency وsnapshots مناسبة.‬</w:t>
      </w:r>
    </w:p>
    <w:p>
      <w:pPr>
        <w:spacing w:before="100" w:after="60"/>
        <w:jc w:val="right"/>
        <w:keepNext/>
        <w:bidi w:val="1"/>
      </w:pPr>
      <w:r>
        <w:rPr>
          <w:rFonts w:ascii="Noto Kufi Arabic" w:hAnsi="Noto Kufi Arabic" w:eastAsia="Noto Kufi Arabic" w:cs="Noto Kufi Arabic"/>
          <w:b/>
          <w:color w:val="6D35E8"/>
          <w:sz w:val="21"/>
        </w:rPr>
        <w:t>‫عيوب يجب عدم تجاهلها‬</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‫لا توجد اختبارات RLS. التصميم وحده لا يثبت عدم التسرب.‬</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‫الدالة العامة للمتدرب تختار أحدث تسجيل للرمز، ما قد يوجه خطأ عند تسجيل المتدرب في أكثر من برنامج.‬</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‫لا توجد API routes، لذلك لا يوجد مكان آمن لتشغيل Jotform أو xAPI أو إصدار الشهادات.‬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‫لا يوجد Server Supabase module مستقل أو service-role path، باستثناء عميل جلسة داخل proxy.‬</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‫الواجهة تقرأ وتكتب مباشرة من المتصفح عبر RLS وRPCs؛ هذا مقبول لبعض CRUD، لكنه غير مناسب للتكاملات والأسرار والمحرك.‬</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‫لا توجد آلية نشر نسخة برنامج أو ربط نماذج أو مفاتيح من الواجهة.‬</w:t>
      </w:r>
    </w:p>
    <w:p>
      <w:pPr>
        <w:spacing w:before="100" w:after="60"/>
        <w:jc w:val="right"/>
        <w:keepNext/>
        <w:bidi w:val="1"/>
      </w:pPr>
      <w:r>
        <w:rPr>
          <w:rFonts w:ascii="Noto Kufi Arabic" w:hAnsi="Noto Kufi Arabic" w:eastAsia="Noto Kufi Arabic" w:cs="Noto Kufi Arabic"/>
          <w:b/>
          <w:color w:val="6D35E8"/>
          <w:sz w:val="21"/>
        </w:rPr>
        <w:t>‫تناقضات الوثائق والكود‬</w:t>
      </w:r>
    </w:p>
    <w:tbl>
      <w:tblPr>
        <w:tblW w:type="auto" w:w="0"/>
        <w:jc w:val="center"/>
        <w:tblLayout w:type="fixed"/>
        <w:tblLook w:firstColumn="1" w:firstRow="1" w:lastColumn="0" w:lastRow="0" w:noHBand="0" w:noVBand="1" w:val="04A0"/>
      </w:tblPr>
      <w:tblGrid>
        <w:gridCol w:w="2594"/>
        <w:gridCol w:w="2594"/>
        <w:gridCol w:w="2594"/>
        <w:gridCol w:w="2594"/>
      </w:tblGrid>
      <w:tr>
        <w:trPr>
          <w:tblHeader w:val="true"/>
        </w:trPr>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‫الموضوع‬</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‫المرجع‬</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‫الواقع‬</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‫المطلوب‬</w:t>
            </w:r>
          </w:p>
        </w:tc>
      </w:tr>
      <w:tr>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5"/>
              </w:rPr>
              <w:t>‫Auth‬</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‫الوثائق تطلب OTP‬</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B42318"/>
                <w:sz w:val="15"/>
              </w:rPr>
              <w:t>‫الكود يستخدم كلمة مرور‬</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‫حسم قرار واحد وتحديث الجميع‬</w:t>
            </w:r>
          </w:p>
        </w:tc>
      </w:tr>
      <w:tr>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5"/>
              </w:rPr>
              <w:t>‫البيئات‬</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‫القائمة تطلب Dev/Staging/Production‬</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B42318"/>
                <w:sz w:val="15"/>
              </w:rPr>
              <w:t>‫قرار 007 يعتمد بيئة واحدة‬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‫استثناء معتمد أو إعادة القرار‬</w:t>
            </w:r>
          </w:p>
        </w:tc>
      </w:tr>
      <w:tr>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5"/>
              </w:rPr>
              <w:t>‫مفتاح Supabase‬</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‫env.example يستخدم ANON_KEY‬</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B42318"/>
                <w:sz w:val="15"/>
              </w:rPr>
              <w:t>‫التطبيق يستخدم PUBLISHABLE_KEY‬</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‫env.example حالي داخل التطبيق‬</w:t>
            </w:r>
          </w:p>
        </w:tc>
      </w:tr>
      <w:tr>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5"/>
              </w:rPr>
              <w:t>‫الشعار‬</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‫brand-spec يقول pending‬</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B42318"/>
                <w:sz w:val="15"/>
              </w:rPr>
              <w:t>‫أصول الشعار مستخدمة فعليًا‬</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‫تحديث brand-spec‬</w:t>
            </w:r>
          </w:p>
        </w:tc>
      </w:tr>
      <w:tr>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5"/>
              </w:rPr>
              <w:t>‫الإعدادات‬</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‫واجهة تقول Supabase غير متصل‬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B42318"/>
                <w:sz w:val="15"/>
              </w:rPr>
              <w:t>‫المسارات الحقيقية متصلة‬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‫إزالة النص التجريبي‬</w:t>
            </w:r>
          </w:p>
        </w:tc>
      </w:tr>
      <w:tr>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5"/>
              </w:rPr>
              <w:t>‫Git‬</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‫المهمة تشترط ملكية الأمد‬</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B42318"/>
                <w:sz w:val="15"/>
              </w:rPr>
              <w:t>‫المجلد الحالي ليس مستودع Git صالحًا‬</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5"/>
              </w:rPr>
              <w:t>‫ربط بمستودع واضح وإثبات الملكية‬</w:t>
            </w:r>
          </w:p>
        </w:tc>
      </w:tr>
    </w:tbl>
    <w:p>
      <w:pPr>
        <w:spacing w:before="160" w:after="80"/>
        <w:jc w:val="right"/>
        <w:keepNext/>
        <w:bidi w:val="1"/>
      </w:pPr>
      <w:r>
        <w:rPr>
          <w:rFonts w:ascii="Noto Kufi Arabic" w:hAnsi="Noto Kufi Arabic" w:eastAsia="Noto Kufi Arabic" w:cs="Noto Kufi Arabic"/>
          <w:b/>
          <w:color w:val="0B1026"/>
          <w:sz w:val="30"/>
        </w:rPr>
        <w:t>‫6 · المراجعة التفصيلية للمهام 0 إلى 21‬</w:t>
      </w:r>
    </w:p>
    <w:p>
      <w:pPr>
        <w:spacing w:before="0" w:after="140" w:line="276" w:lineRule="auto"/>
        <w:jc w:val="right"/>
        <w:bidi w:val="1"/>
        <w:keepNext/>
      </w:pPr>
      <w:r>
        <w:rPr>
          <w:rFonts w:ascii="Noto Sans Arabic" w:hAnsi="Noto Sans Arabic" w:eastAsia="Noto Sans Arabic" w:cs="Noto Sans Arabic"/>
          <w:b w:val="0"/>
          <w:color w:val="747F94"/>
          <w:sz w:val="18"/>
        </w:rPr>
        <w:t>‫لكل مهمة: المنجز، الجزئي، المتبقي، والدليل‬</w:t>
      </w:r>
    </w:p>
    <w:p>
      <w:pPr>
        <w:spacing w:before="0" w:after="80" w:line="276" w:lineRule="auto"/>
        <w:jc w:val="right"/>
        <w:bidi w:val="1"/>
      </w:pPr>
      <w:r>
        <w:rPr>
          <w:rFonts w:ascii="Noto Sans Arabic" w:hAnsi="Noto Sans Arabic" w:eastAsia="Noto Sans Arabic" w:cs="Noto Sans Arabic"/>
          <w:b w:val="0"/>
          <w:color w:val="495368"/>
          <w:sz w:val="18"/>
        </w:rPr>
        <w:t>‫المراجعة التالية لا تعيد كتابة قائمة المهام حرفيًا. هي تحديث تنفيذي لها: كل مجموعة فرعية عولجت ضمن تم أو جزئي أو متبقٍ، ثم قورنت ببوابة القبول الأصلية.‬</w:t>
      </w:r>
    </w:p>
    <w:p>
      <w:r>
        <w:br w:type="page"/>
      </w:r>
    </w:p>
    <w:p>
      <w:pPr>
        <w:spacing w:before="80" w:after="120"/>
        <w:jc w:val="right"/>
        <w:keepNext/>
        <w:bidi w:val="1"/>
      </w:pPr>
      <w:r>
        <w:rPr>
          <w:rFonts w:ascii="Noto Kufi Arabic" w:hAnsi="Noto Kufi Arabic" w:eastAsia="Noto Kufi Arabic" w:cs="Noto Kufi Arabic"/>
          <w:b/>
          <w:color w:val="0B1026"/>
          <w:sz w:val="30"/>
        </w:rPr>
        <w:t>‫0 · حسم النطاق والقرارات قبل البرمجة‬</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‫جزئي موثق‬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‫تم حسم عدد من القرارات المعمارية في سجل مستقل، لكن الملكيات والمسؤوليات ومؤشرات النجاح وخطة المخاطر والرجوع لم تُغلق.‬</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‫تعريف المنتج كنظام قياس وإثبات، وليس منصة XR، موثق في ملفات الحزمة.‬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‫حسم مسار المتدرب على ‎/t/[traineeCode]‎، ومسار Jotform عبر Next.js Route Handler، ونموذج cohort_reports المنفصل.‬</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‫اعتماد أن شرط الشهادة هو نتيجة الاختبار البعدي 80% أو أكثر، وأن الثقة والأداء اللحظي أدلة أثر لا تمنع الشهادة.‬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‫اعتماد رقم شهادة تسلسلي مع verify_code عشوائي، ومنع الحذف التلقائي الصامت.‬</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‫قرار البيئة الواحدة موثق، لكنه يخالف قائمة المهام التي تطلب Development وStaging وProduction؛ يلزم استثناء معتمد أو تعديل القرار.‬</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‫قاموس xAPI وشروط البيانات الناقصة لم تُعتمد مع فريق AmadXR.‬</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‫تعيين Product Owner والمالك التقني ومسؤولي قاعدة البيانات والتكامل والاختبار بأسماء فعلية.‬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‫اعتماد سياسة PDPL للاحتفاظ والحذف والتصدير.‬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Risk Register وChange Log وخطة Rollback قابلة للتنفيذ.‬</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‫تثبيت مؤشرات 98% للمطابقة وزمن التقرير أقل من دقيقة ضمن خطة اختبار.‬</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‫ChatGPT/PROJECT_DECISIONS.md، docs/01-project-brief.md، docs/02-architecture.md‬</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توجد قرارات حرجة ومسؤوليات تشغيلية بلا اعتماد.‬</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 · الحسابات والبنية التحتية المملوكة للأمد‬</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‫جزئي وغير متحقق خارجيًا‬</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‫مشروع Supabase فعلي موجود ومربوط محليًا، لكن ملكية GitHub وVercel والدومين و2FA والاستعادة لا يمكن إثباتها من الملفات.‬</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‫وجود مشروع Supabase مستقل ومفاتيح عامة محلية مسماة دون كشف القيم.‬</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‫ملف .gitignore يمنع .env، ولم تُطبع أو تُضمّن أسرار في هذا التقرير.‬</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‫الدالة العامة get_public_trainee_route استجابت من Supabase فعليًا بحالة HTTP 200.‬</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‫ملف .env.example موجود فقط في حزمة التسليم القديمة ويستخدم NEXT_PUBLIC_SUPABASE_ANON_KEY، بينما التطبيق الحالي يستخدم NEXT_PUBLIC_SUPABASE_PUBLISHABLE_KEY.‬</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‫لا يوجد NEXT_PUBLIC_APP_URL في البيئة الحالية، ما يمنع اختبار QR من هاتف آخر عبر عنوان loopback.‬</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‫إثبات ملكية GitHub وSupabase وVercel والدومين للأمد، وتوثيق المالكين والاستعادة و2FA.‬</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.env.example داخل al-miqyas متوافق مع الأسماء الحالية.‬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‫حسم استراتيجية البيئات، وضبط الدومين وSSL واختبار Safari على هاتف فعلي.‬</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‫إضافة فحص تسرب أسرار وميزانيات وتنبيهات استهلاك.‬</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‫al-miqyas/.env.local، al-miqyas/.gitignore، al-miqyas-handoff/.env.example، فحص Supabase قراءة فقط‬</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الملكية والدومين و2FA لم تُثبت.‬</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‫2 · تهيئة المستودع ومعايير التطوير‬</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‫جزئي حقيقي‬</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‫التطبيق مبني فعليًا باستخدام Next.js وTypeScript وRTL، والبناء ينجح، لكن لا يوجد CI أو lint أو test أو مستودع Git صالح محليًا.‬</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‫Next.js 16.2.10 مع App Router وReact 19 وTypeScript strict.‬</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‫Tailwind CSS 4، اتجاه RTL، خصائص CSS منطقية، وخطوط IBM Plex.‬</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‫أوامر dev وbuild وstart وtypecheck، ونجاح typecheck وbuild بتاريخ المراجعة.‬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‫إعداد عميل Supabase للمتصفح وعميل خادم داخل proxy لتحديث الجلسة.‬</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‫الوصول إلى Supabase ومنطق العرض موجودان داخل مكونات React كبيرة؛ الفصل الطبقي محدود.‬</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‫نسخ قديمة غير مستخدمة ما زالت في المشروع: globals 2.css وicons 2.tsx وtrainee-workspace بنسختين.‬</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‫إضافة ESLint وPrettier وأمر lint وأمر test.‬</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GitHub Actions وحماية main وقوالب PR وIssue.‬</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‫إضافة README فعلي داخل al-miqyas يتيح تشغيل المشروع دون معرفة شفوية.‬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‫إضافة أنواع قاعدة بيانات مولدة وطبقة أخطاء واستجابات وسجلات موحدة.‬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‫تنظيف الملفات القديمة بعد التحقق من عدم استخدامها.‬</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‫al-miqyas/package.json، tsconfig.json، next.config.ts، app/layout.tsx، نتيجة build وtypecheck‬</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CI وlint وtest وREADME وحماية المستودع غائبة.‬</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‫3 · تصميم قاعدة البيانات وتنفيذ المهاجرات‬</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‫متقدم لكنه 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‫هذا أقوى جزء في المشروع: 18 جدولًا و34 سياسة RLS و13 دالة SQL عبر 7 مهاجرات. مع ذلك لا توجد اختبارات آلية أو ERD أو Data Dictionary أو إثبات استعادة.‬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‫إضافة organizations وmemberships وprograms وprogram_versions وjotform_forms وcohorts وtrainees وenrollments.‬</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‫إضافة webhook_ingestions وassessments وorg_api_keys وxapi_statements وimpact_reports وcohort_reports وcertificates وaudit_logs.‬</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‫قيود مركبة تمنع الربط بين الجهات، وفهارس وUNIQUE لـ submission_id وstatement_id والرموز.‬</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‫RLS مفعل على الجداول الثمانية عشر، وسياسات viewer للقراءة فقط.‬</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‫حماية نسخ البرامج المنشورة، وتجهيز snapshots للتقارير والشهادات.‬</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‫المهاجرات 001 إلى 007 موثقة في التسليم على أنها طُبقت يدويًا بنجاح.‬</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‫لا توجد سياسات DELETE لمعظم بيانات الأعمال؛ المنع الافتراضي آمن، لكن إجراءات الأرشفة أو الحذف الإداري غير مكتملة.‬</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‫توليد AMD-XXXXX يبحث عن رمز فريد، لكن تصادم سباق متزامن نادر قد يفشل الإدراج دون إعادة محاولة للمعاملة.‬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‫إصدار ERD نهائي وData Dictionary.‬</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‫اختبار المهاجرات على قاعدة فارغة وعلى Staging ببيانات فعلية.‬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‫إضافة Seed آمن واختبارات القيود والفهارس ومنع التكرار.‬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‫توثيق النسخ الاحتياطي والاستعادة وRollback قبل أي مهاجرة إنتاجية جديدة.‬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‫عدم تشغيل migration 008 قبل اعتماد نماذج Jotform ومفتاح الإجابة.‬</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‫al-miqyas/supabase/migrations/202607230001_foundation.sql حتى 202607230007_public_trainee_route.sql‬</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التصميم قوي، لكن بوابة الوثائق والاختبارات والاستعادة غير موجودة.‬</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‫4 · تسجيل الدخول وتعدد الجهات والصلاحيات‬</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‫جزئي حقيقي‬</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‫تسجيل الدخول والحماية وRLS حقيقية، لكن التطبيق يستخدم كلمة مرور لا OTP، واختيار الجهة في الغلاف ثابت ولا يتبع عضويات المستخدم.‬</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‫تسجيل دخول فعلي عبر Supabase signInWithPassword وتسجيل خروج فعلي.‬</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‫proxy يحمي المسارات الخاصة ويعيد غير المسجل إلى /login.‬</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‫أدوار owner وtrainer وviewer وplatform_admin ممثلة في قاعدة البيانات.‬</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‫RLS يمنع viewer من الكتابة في مسارات الأعمال الرئيسية.‬</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‫الشاشات الحقيقية تختار أول عضوية نشطة بدل سياق جهة صريح عند تعدد العضويات.‬</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‫تجديد الجلسة عبر proxy موجود، لكن تجربة انتهاء الجلسة والتعطيل والإزالة غير مكتملة.‬</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‫platform_admin موجود بنيويًا، ولا توجد واجهة إدارة شاملة مثبتة.‬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‫حسم كلمة المرور مقابل OTP وتحديث الوثائق والواجهة وفق قرار واحد.‬</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‫ربط مبدل الجهة بالعضويات الفعلية وإزالة أسماء المستخدم والجهات الثابتة.‬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إدارة مستخدمين وتعطيل عضوية مع حفظ التاريخ.‬</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‫كتابة RLS Tests لحسابين في جهتين، واختبار URL وAPI وService Role.‬</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‫components/auth-pages.tsx، proxy.ts، migrations/202607230002_rls_policies.sql، components/app-shell.tsx‬</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عزل RLS مصمم لكن غير مختبر آليًا وسياق الجهة في الغلاف تجريبي.‬</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‫5 · إدارة الجهات والهوية البصرية‬</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‫هيكل قاعدة وواجهة محاكاة‬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‫الجداول والهوية العامة موجودة، لكن إدارة الجهة والأعضاء والدعوات والشعارات ليست تدفقًا حقيقيًا.‬</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‫جداول organizations وmemberships وmembership_invitations موجودة مع RLS.‬</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‫أصول شعار الأمد موجودة ويستخدم التطبيق الشعار الفعلي.‬</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‫Design Tokens للألوان موجودة في globals.css.‬</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‫app-shell يعرض جهتين ثابتتين ومبدلًا وهميًا وبيانات مشغل ثابتة.‬</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‫brand-spec.md ما زال يقول إن الشعار الرسمي pending رغم وجود أصول فعلية؛ الوثيقة قديمة.‬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‫صفحة حقيقية لإنشاء وتعديل الجهة والتحقق من slug واللون والشعار والحالة.‬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‫Supabase Storage وسياسات رفع الشعارات.‬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‫دعوة أعضاء وتغيير أدوار وإلغاء عضوية ومنع إزالة آخر owner.‬</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‫ربط الهوية الفعلية بالتقارير والشهادات واختبار جهتين.‬</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‫components/app-shell.tsx، components/dashboard-pages.tsx، brand-spec.md، public/brand، الجداول والسياسات‬</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يمكن إدارة جهتين وأعضائهما وهويتهما فعليًا من الواجهة.‬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‫6 · البرامج والدفعات والتسجيلات‬</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‫جزئي حقيقي‬</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‫إنشاء وتعديل المسودات والدفعات وتسجيل المتدرب تعمل فعليًا، لكن النشر ودورة الحالات والربط بالتكاملات غير مكتملة.‬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‫إنشاء برنامج مع نسخة أولى عبر RPC ذري، وتعديل المسودة مع Audit Log.‬</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‫إنشاء دفعة وتعديلها، ومنع تشغيلها قبل نشر البرنامج وربط Jotform وxAPI.‬</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‫إنشاء متدرب وتسجيله في دفعة عبر RPC ذري مع منع التكرار.‬</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‫قيود نسخ البرامج تمنع تعديل النسخة المنشورة بصمت.‬</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‫حالات الدفعة والبرنامج موجودة في القاعدة، لكن واجهة النشر والتفعيل والإغلاق غير مكتملة.‬</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‫قواعد المعرفة الأساسية محفوظة، لكن answer_key ونماذج Jotform وقاموس xAPI غير موصولة.‬</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‫تقدم المتدرب مشتق من البيانات المتاحة، لكنه لن يكتمل قبل وصول التقييمات والأحداث.‬</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‫اعتماد وإنشاء نسخ البرامج ونشرها وتفعيلها من الواجهة.‬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‫ربط النموذج القبلي والبعدي ومفتاح الإجابة وقاموس xAPI بالإصدار.‬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‫إدارة انتقالات enrollment حتى reported وcertified.‬</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‫واجهة تفاصيل دفعة حقيقية بدل غرفة الدفعة التجريبية.‬</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‫components/programs-page.tsx، components/trainees-page.tsx، migrations 003 إلى 006‬</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الإنشاء الحقيقي يعمل، لكن دورة التشغيل من نشر البرنامج إلى اكتمال الرحلة لا تعمل.‬</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‫7 · المتدرب والمعرف الموحد وQR‬</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‫جزئي حقيقي‬</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‫AMD-XXXXX والتسجيل والتوجيه والـQR حقيقية، لكن البطاقة والطباعة واختبارات الهاتف وسلامة تعدد التسجيلات غير مكتملة.‬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‫توليد AMD-XXXXX في Supabase بأبجدية آمنة وقيد UNIQUE.‬</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‫الرمز غير قابل للتعديل من واجهة المتدرب، مع Audit Log لتعديل الملف الشخصي فقط.‬</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‫البحث بالرمز والاسم والجوال، وصفحة متدرب حقيقية تعرض الأدلة الموجودة فقط.‬</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‫QR فعلي يولد في المتصفح، وصفحة /t/[traineeCode] تستدعي RPC عامة دون عرض بيانات شخصية.‬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‫التوجيه يدعم فتح نماذج Jotform مع prefill عند ربطها.‬</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‫المطلوب توليد QR من الخادم، بينما التنفيذ الحالي يتم في المتصفح.‬</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‫الدالة العامة تختار أحدث تسجيل للرمز؛ هذا لا يحقق شرط عدم الاعتماد على الرمز وحده عند تعدد البرامج.‬</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‫المسار العام يعتمد على رمز قابل للتخمين نسبيًا دون Rate Limiting أو طبقة API وسيطة.‬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بطاقة قابلة للطباعة والحفظ بهوية الجهة.‬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‫تعريف سياسة منع التكرار والموافقة وفق PDPL واستيراد CSV إن لزم.‬</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‫ربط التوجيه بتسجيل أو سياق محدد عند تعدد البرامج.‬</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‫إضافة Rate Limiting واختبارات iPhone وAndroid وإضاءة وطباعة.‬</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‫generate_trainee_code، create_trainee_with_enrollment، trainee-details-page.tsx، trainee-routing-page.tsx، RPC العامة‬</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المعرف والتوجيه يعملان، لكن البطاقة والاختبارات وسياق التسجيل المتعدد غير مغلقة.‬</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‫8 · تكامل Jotform‬</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‫لم يبدأ تشغيليًا‬</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‫قاعدة البيانات ومسار التوجيه جاهزان لاستقبال التكامل، لكن لا توجد نماذج معتمدة أو endpoint أو webhook أو تصحيح أو reconciliation.‬</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‫جدول jotform_forms وجدول webhook_ingestions وجدول assessments جاهزة بنيويًا.‬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‫التوجيه العام يعرف بناء رابط prefill عندما توجد form_id وtrainee_field_name.‬</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‫submission_id عليه قيد فريد في assessments.‬</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‫القرار المعماري حسم Next.js Route Handler، لكن app/api غير موجود أصلًا.‬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‫ملف البيئة القديم يسرد JOTFORM_API_KEY وJOTFORM_WEBHOOK_SECRET، ولا توجد استخدامات برمجية لهما.‬</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‫اعتماد النموذج القبلي والبعدي وحقل traineeId المقفل ومفتاح الإجابة.‬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‫تنفيذ endpoint موحد وآمن، والتحقق من المصدر، وحفظ raw payload المحمي.‬</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‫استخراج submission_id والإجابات والتوقيت والنوع والجهة والتسجيل.‬</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‫التصحيح بإصدار البرنامج، وحفظ الدرجة والثقة والأصل.‬</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‫Reconciliation دوري يستخدم نفس مسار المعالجة ويمنع التكرار.‬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‫لوحة للفشل وعدم الارتباط واختبارات جوال وفشل Webhook.‬</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‫لا يوجد app/api؛ الجداول موجودة في foundation.sql؛ PROJECT_DECISIONS.md‬</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يوجد إرسال Jotform واحد يُعالج فعليًا.‬</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‫9 · تكامل xAPI والأداء اللحظي‬</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‫لم يبدأ تشغيليًا‬</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‫الجداول والقيود جاهزة، لكن لا يوجد POST /api/xapi ولا مفاتيح تشغيل ولا تحقق ولا بث حي حقيقي.‬</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‫جداول org_api_keys وxapi_statements مع key_hash وstatement_id فريد.‬</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‫قيود تربط الحدث بالجهة والتسجيل والبرنامج.‬</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‫واجهة تجريبية توضح الشكل المطلوب للأحداث والمقاييس.‬</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‫شاشة الجلسة الحية الحالية محاكاة ببيانات ثابتة وعدّادات محلية.‬</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‫قاموس مبدئي للأفعال موجود في النموذج والسيناريو، لكنه غير معتمد أو منفذ.‬</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POST /api/xapi لمفرد أو مصفوفة مع Bearer key وRate Limiting.‬</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وتدوير وإلغاء مفاتيح الجهات مع عرضها مرة واحدة.‬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‫التحقق من actor.account.name وregistration وprogramId والجهة والوحدات والتوقيت.‬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‫Idempotency ورفض قابل للتتبع وربط الجلسة والتسجيل.‬</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‫اعتماد قاموس xAPI مع AmadXR واختبار جلسة فعلية وانقطاع الشبكة.‬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‫استبدال شاشة المحاكاة ببيانات مباشرة.‬</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‫foundation.sql، dashboard-pages.tsx، cohort-room.tsx، al-miqyas-v2.jsx، غياب app/api‬</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يمكن استقبال statement واحد في التطبيق الحالي.‬</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‫10 · محرك التصحيح والقياس والأثر‬</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‫هيكل بيانات فقط‬</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‫لا يوجد scoring.ts أو محرك أثر أو اختبارات حساب. الأرقام الصحيحة تظهر في النموذج التجريبي فقط.‬</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‫جداول impact_reports وcohort_reports تخزن metrics_snapshot وrule_version.‬</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‫قرار الشهادة المعرفي 80% موثق.‬</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‫الأمثلة المرجعية min 5→8 وSD 1.62→0.79 موثقة في الملفات.‬</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‫صفحة تفاصيل المتدرب تعرض assessments وxAPI وimpact_reports إن وجدت، لكنها لا تحسبها.‬</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‫بناء scoring.ts أو طبقة خادم مكافئة مع answer_key بإصدار.‬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‫حساب Knowledge Delta وConfidence Delta وملخص الأداء اللحظي.‬</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‫بناء التقرير الفردي والجماعي مع sample matching وCeiling Effect.‬</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‫سياسة البيانات الناقصة وإعادة الحساب دون تغيير الشهادات بصمت.‬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‫Unit Tests للحالات المرجعية والقسمة على صفر والعينات الصغيرة والقيم المفقودة.‬</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‫لا يوجد scoring.ts؛ foundation.sql؛ trainee-details-page.tsx؛ al-miqyas-v2.jsx‬</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يمكن إعادة إنتاج قرار أو تقرير من بيانات فعلية.‬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‫11 · الواجهات ولوحات التحكم‬</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‫مختلط: حقيقي ومحاكاة‬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‫نظام التصميم متماسك وRTL متجاوب، لكن غالبية الشاشات التشغيلية ما زالت محاكاة. هذا الخلط يمثل مخاطرة تضليل قبل الإطلاق.‬</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‫تصميم عربي RTL، Design Tokens، حالات focus، responsive breakpoints، وprefers-reduced-motion.‬</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‫شاشة دخول حقيقية، برامج حقيقية، متدربون حقيقيون، تفاصيل متدرب حقيقية، ومسار عام حقيقي.‬</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‫نجاح إنتاج 15 مسارًا في build.‬</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‫Loading وError موجودة في الصفحات الحقيقية، لكن ليست موحدة في كل الشاشات.‬</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‫الصلاحيات تخفي بعض الأزرار حسب role، لكن الغلاف نفسه يعرض بيانات ثابتة.‬</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‫register يستقبل طلبًا تجريبيًا ولا ينشئ حسابًا أو دعوة.‬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‫استبدال dashboard وsessions وreports وcertificates وorganizations وsettings وaccount وcohort room ببيانات حقيقية.‬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‫إزالة أو وسم المحاكاة بوضوح حتى لا تختلط ببيانات الإنتاج.‬</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‫إكمال حالات Loading وEmpty وError وSuccess والتأكيدات لكل فعل حساس.‬</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‫اختبارات Safari وChrome والجوال والنصوص الطويلة والتباين ولوحة المفاتيح.‬</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‫globals.css، app routes، programs-page.tsx، trainees-page.tsx، dashboard-pages.tsx، app-shell.tsx‬</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شرط القراءة من بيانات حقيقية غير متحقق لمعظم الواجهة.‬</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‫12 · التقارير الفردية والجماعية‬</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‫محاكاة مع جداول جاهزة‬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‫التقارير تعرض القصة الصحيحة بصريًا، لكنها لا تعتمد على محرك حساب أو بيانات فعلية.‬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‫تصميم تقرير فردي وجماعي يبرز رفع الأضعف وضغط التشتت.‬</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‫جداول impact_reports وcohort_reports تدعم snapshots والإصدارات.‬</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‫التصميم يذكر اختلاف حجم العينة 12 قبلي و7 بعدي في النموذج التجريبي.‬</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‫زر Export PDF في التقرير التجريبي ينفذ window.print فقط.‬</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‫صفحة تفاصيل المتدرب تعرض وجود المصادر أو فقدها، لكنها ليست تقرير أثر محسوبًا.‬</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‫توليد تقارير من محرك القياس الفعلي.‬</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‫مرشحات البرنامج والدفعة والتاريخ وصلاحيات العرض والتنزيل.‬</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‫رقم إصدار وتاريخ الحساب ومصدر البيانات.‬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‫طباعة نظيفة واختبار عدم فتح تقرير جهة أخرى.‬</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‫dashboard-pages.tsx، trainee-details-page.tsx، impact_reports وcohort_reports‬</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يوجد تقرير فعلي قابل لإعادة الحساب والمراجعة.‬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‫13 · الشهادات والتحقق‬</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‫هيكل قوي وواجهة محاكاة‬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‫جدول الشهادات صُمم جيدًا، لكن الإصدار والإلغاء والقالب وQR والتحقق العام ليست تدفقات حقيقية.‬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‫certificate_serial وcertificate_number وverify_code فريد وعشوائي بنيويًا.‬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‫حالات valid وrevoked وsuperseded، وسبب وتاريخ الإلغاء، وsnapshot.‬</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‫قيد يمنع أكثر من شهادة valid للتسجيل نفسه.‬</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‫صفحة /verify/[verifyCode] عامة لكنها بيانات ثابتة وتبديل محلي بين valid وrevoked وnotfound.‬</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‫صفحة الشهادات وزر الإصدار محاكاة، ولا يوجد RPC أو endpoint للإصدار.‬</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‫محرك إصدار مقيد بالبعدي 80% وباكتمال البيانات الإلزامية.‬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‫RPC أو Route Handler للإصدار والإلغاء وإعادة الإصدار مع Audit Log.‬</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‫قالب شهادة فعلي بهوية الجهة وQR إلى /verify/{code}.‬</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‫صفحة تحقق تقرأ الحد الأدنى الضروري فقط ولا تعرض الدرجات.‬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‫اختبار شهادة مطبوعة على Safari وحالات الإلغاء والرمز غير الموجود.‬</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‫foundation.sql، public-pages.tsx، dashboard-pages.tsx، PROJECT_DECISIONS.md‬</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يمكن إصدار أو إلغاء أو التحقق من شهادة حقيقية.‬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‫14 · الأمان والخصوصية والامتثال‬</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‫أساس جزئي‬</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‫RLS والقيود والأسرار المحلية نقطة جيدة، لكن PDPL والحماية الطرفية والنسخ الاحتياطي والاستجابة للحوادث غير مكتملة.‬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‫RLS مفعل على 18 جدولًا، وقيود cross-tenant قوية، وviewer بلا كتابة.‬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‫.env.local مستبعد من Git، ولا توجد مفاتيح خادم مستخدمة في الواجهة.‬</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‫الصفحة العامة للمتدرب لا تعرض اسمًا أو جوالًا أو بريدًا.‬</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‫الدالة العامة تكشف حالة تشغيل محدودة عبر رمز AMD-XXXXX دون Rate Limiting.‬</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‫التحقق من المدخلات موجود داخل RPCs، لكن لا توجد طبقة endpoint موحدة أو schema validation.‬</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‫جرد البيانات الشخصية وإشعار الخصوصية ومدة الاحتفاظ وآليات الطلب والتصحيح والحذف وفق PDPL.‬</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‫Rate Limiting وSecurity Headers وCSP وCSRF حسب endpoints.‬</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‫فحص الاعتماديات والثغرات ومراجعة RLS مستقلة.‬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‫نسخ احتياطي واختبار استعادة فعلي وIncident Response Runbook وتدوير مفاتيح.‬</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‫مهاجرات foundation وRLS، .gitignore، proxy.ts، get_public_trainee_route‬</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توجد مراجعة أمنية مستقلة أو اختبار استعادة أو سياسة PDPL معتمدة.‬</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‫15 · المراقبة والتشغيل والدعم‬</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‫بداية محدودة‬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‫Audit Log موجود لبعض العمليات، لكن لا توجد مراقبة أو تنبيهات أو tracing أو إعادة معالجة.‬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‫جدول audit_logs وسياسات قراءة owner.‬</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‫RPCs الحالية تسجل إنشاء وتعديل البرامج والدفعات والمتدربين.‬</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‫webhook_ingestions يتضمن حالات ومحاولات ورسالة خطأ بنيويًا.‬</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‫لا توجد شاشة حقيقية للسجلات أو الفشل؛ المعروض في الجلسات محاكاة.‬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‫Correlation ID وتسجيل نجاح وفشل Jotform وxAPI دون بيانات حساسة.‬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‫Uptime وError Tracking وتنبيهات توقف reconciliation وأخطاء xAPI.‬</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‫صفحة للأحداث المرفوضة والإرسالات غير المرتبطة.‬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‫إعادة معالجة آمنة وتدوير مفاتيح وتصحيح ارتباط عالي الصلاحية مع Audit Log.‬</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‫إجراءات تشغيل يومية وأسبوعية.‬</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‫audit_logs وwebhook_ingestions، RPCs 003 إلى 006، sessions التجريبية‬</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يمكن تتبع إرسال واحد أو تنبيه فريق التشغيل عند فشله.‬</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‫16 · الاختبارات وضمان الجودة‬</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منفذ كمنظومة QA‬</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‫نجح build وtypecheck فقط. لا يوجد أي ملف اختبار أو إطار اختبار أو CI.‬</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‫نجاح tsc --noEmit بتاريخ 24 يوليو 2026.‬</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‫نجاح next build --webpack وإنشاء 15 مسارًا.‬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‫نجاح فحص محلي: /login يعيد 200، و/dashboard يعيد 307 إلى login، والمسارات العامة تعيد 200.‬</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‫الفحوص اليدوية تثبت قابلية البناء والحماية الأساسية فقط، ولا تثبت منطق الأعمال.‬</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‫Unit Tests للرموز والتصحيح والأثر.‬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‫Integration Tests لقاعدة البيانات وJotform وxAPI.‬</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‫RLS Tests لكل دور وجدول، وIdempotency للمصادر والشهادات.‬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‫E2E كامل من التسجيل إلى الشهادة، وحالات النقص والفشل والإلغاء.‬</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‫اختبارات RTL والأجهزة والوصول والأداء وUAT وإغلاق العيوب.‬</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‫package.json لا يحتوي test أو lint؛ عدد ملفات الاختبار صفر؛ نتائج الفحص التنفيذي الحالية‬</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توجد رحلة E2E أو اختبارات RLS أو أجهزة.‬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‫17 · ترحيل البيانات والاستعداد للتجربة‬</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‫لم يبدأ‬</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‫الأرقام التاريخية موجودة في الوثائق والنموذج، ولا يوجد دليل على استيراد 12 قبلي و7 بعدي إلى القاعدة الحالية.‬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‫تثبيت الأرقام المرجعية للدفعة في الوثائق والنموذج: 12 قبلي، 7 بعدي، min 5→8، وSD 1.62→0.79.‬</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‫الصفحات التجريبية تعرض هذه الأرقام، وهذا ليس إثبات ترحيل.‬</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‫نسخة محفوظة من مصدر Jotform واستيراد يحفظ submission_id والمصدر الأصلي.‬</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‫توثيق السجلات غير القابلة للمطابقة دون اختلاق روابط.‬</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‫مطابقة المتوسط والحد الأدنى والانحراف مع المصدر.‬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‫إعداد جهة وبرنامج ودفعة ونماذج ومفاتيح وبطاقات للتجربة.‬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‫Dry Run داخلي وخطة دعم وانقطاع إنترنت وتدريب المشرفين.‬</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‫al-miqyas-v2.jsx، 01-project-brief.md، عدم وجود سكربت ترحيل أو Seed تاريخي‬</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توجد بيانات تاريخية مثبتة في التدفق الحالي ولا Dry Run.‬</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‫18 · النشر الإنتاجي‬</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مثبت‬</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‫لا توجد أدلة محلية على Vercel أو الدومين أو SSL أو Tag أو Release. البيئة الحالية تعمل محليًا فقط في نطاق هذا التدقيق.‬</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‫البناء الإنتاجي المحلي ينجح.‬</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‫تهيئة cpus=1 تمنع استهلاك موارد زائد أثناء البناء.‬</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‫ملف التسليم يقترح Vercel والدومين، لكن لا توجد vercel.json أو بيانات نشر أو فحص حي.‬</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‫مهاجرات القاعدة مطبقة وفق التسليم، لكن لم تُربط بإصدار Git موثق.‬</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Production وتطبيق المهاجرات المعتمدة فقط وإضافة الأسرار في المنصات.‬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‫ضبط DNS وSSL وRedirects وتعطيل البيانات التجريبية.‬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‫Backup ومراقبة وتنبيهات وFreeze وTag وRelease Notes.‬</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‫Smoke Tests كاملة على الدومين وخطة Rollback مع مسؤول مخول.‬</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‫نتيجة build المحلية، غياب vercel.json وCI وGit صالح، وثائق التسليم فقط‬</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يوجد إصدار إنتاجي مثبت أو Smoke Test على دومين.‬</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‫19 · التجربة الميدانية وقياس النجاح‬</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‫لم تبدأ‬</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‫لا يمكن تنفيذ Pilot قبل Jotform وxAPI والمحرك والشهادات والاختبارات.‬</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‫مؤشرات النجاح المستهدفة مذكورة في قائمة المهام والوثائق.‬</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‫السيناريو التعليمي جاهز نسبيًا، لكنه لا يساوي جاهزية المنظومة التقنية.‬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‫تشغيل دورة كاملة ومراقبة القبلي وxAPI والبعدي والتقرير والشهادات.‬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‫قياس المطابقة 98% وزمن التقرير أقل من دقيقة وعدم التسرب.‬</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‫اختبار QR شهادات على iPhone ومقارنة عينة بالمصدر.‬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‫تقرير Pilot بالأعطال والتدخلات والقرارات والإصلاحات.‬</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‫سيناريو تهيئة الموظفين الجدد، قائمة المهام، غياب أي تقرير Pilot‬</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لا توجد دورة ميدانية كاملة أو مؤشرات مقاسة.‬</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‫20 · التوثيق والتسليم ونقل الملكية‬</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‫جزئي‬</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‫غير مغلق‬</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‫التوثيق المفاهيمي والتسليم المرحلي جيد، لكن وثائق المطور والتشغيل والأمان والملكية النهائية ناقصة.‬</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‫دليل تعليمي وتقني، قائمة مهام، وثائق brief وarchitecture وroadmap وintegrations.‬</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‫سجل قرارات تصميم، ملف تصميم، وملفا تسليم بتاريخي 21 و23 يوليو.‬</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‫سبع مهاجرات مرتبة ومشروحة داخل SQL.‬</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‫ملف HANDOVER_2026-07-23.md دقيق في فصل الحقيقي عن التجريبي، لكنه لقطة انتقالية لا دليل تشغيل نهائي.‬</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‫حزمة al-miqyas-handoff قديمة جزئيًا وتحتوي Schema وسياسات superseded.‬</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‫README داخل التطبيق، ERD، Data Dictionary، وتوثيق APIs الحقيقية.‬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‫توثيق قواعد الحساب والإصدارات وأمثلة الاختبار.‬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‫دليل مدير الجهة والمدرب والشهادات وإطلاق دورة جديدة.‬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‫Runbooks للأعطال وإعادة المعالجة والمفاتيح والنسخ والاستعادة.‬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‫إثبات ملكية الحسابات وقائمة وصول آمنة وAcceptance Checklist وفترة دعم.‬</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‫ملفات التحضير، al-miqyas-handoff/docs، ChatGPT docs، HANDOVER_2026-07-21 و2026-07-23‬</w:t>
      </w:r>
    </w:p>
    <w:tbl>
      <w:tblPr>
        <w:tblW w:type="auto" w:w="0"/>
        <w:jc w:val="center"/>
        <w:tblLayout w:type="fixed"/>
        <w:tblLook w:firstColumn="1" w:firstRow="1" w:lastColumn="0" w:lastRow="0" w:noHBand="0" w:noVBand="1" w:val="04A0"/>
      </w:tblPr>
      <w:tblGrid>
        <w:gridCol w:w="9638"/>
        <w:gridCol w:w="312"/>
      </w:tblGrid>
      <w:tr>
        <w:tc>
          <w:tcPr>
            <w:tcW w:type="dxa" w:w="5188"/>
            <w:shd w:fill="FFF5DF"/>
            <w:tcBorders>
              <w:top w:val="single" w:sz="4" w:color="A96B00"/>
              <w:start w:val="single" w:sz="4" w:color="A96B00"/>
              <w:bottom w:val="single" w:sz="4" w:color="A96B00"/>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A96B00"/>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‫غير مغلقة؛ فريق التشغيل لا يملك بعد أدلة كافية للنشر والاستعادة والتشغيل المستقل.‬</w:t>
            </w:r>
          </w:p>
        </w:tc>
        <w:tc>
          <w:tcPr>
            <w:tcW w:type="dxa" w:w="5188"/>
            <w:shd w:fill="A96B00"/>
            <w:tcBorders>
              <w:top w:val="single" w:sz="4" w:color="A96B00"/>
              <w:start w:val="nil"/>
              <w:bottom w:val="single" w:sz="4" w:color="A96B00"/>
              <w:end w:val="single" w:sz="4" w:color="A96B00"/>
            </w:tcBorders>
            <w:tcMar>
              <w:top w:w="0" w:type="dxa"/>
              <w:start w:w="0" w:type="dxa"/>
              <w:bottom w:w="0" w:type="dxa"/>
              <w:end w:w="0" w:type="dxa"/>
            </w:tcMar>
          </w:tcPr>
          <w:p/>
        </w:tc>
      </w:tr>
    </w:tbl>
    <w:p>
      <w:pPr>
        <w:spacing w:after="0"/>
      </w:pPr>
    </w:p>
    <w:p>
      <w:r>
        <w:br w:type="page"/>
      </w:r>
    </w:p>
    <w:p>
      <w:pPr>
        <w:spacing w:before="80" w:after="120"/>
        <w:jc w:val="right"/>
        <w:keepNext/>
        <w:bidi w:val="1"/>
      </w:pPr>
      <w:r>
        <w:rPr>
          <w:rFonts w:ascii="Noto Kufi Arabic" w:hAnsi="Noto Kufi Arabic" w:eastAsia="Noto Kufi Arabic" w:cs="Noto Kufi Arabic"/>
          <w:b/>
          <w:color w:val="0B1026"/>
          <w:sz w:val="30"/>
        </w:rPr>
        <w:t>‫21 · ما بعد الإطلاق والـBacklog‬</w:t>
      </w:r>
    </w:p>
    <w:tbl>
      <w:tblPr>
        <w:tblW w:type="auto" w:w="0"/>
        <w:jc w:val="center"/>
        <w:tblLayout w:type="fixed"/>
        <w:tblLook w:firstColumn="1" w:firstRow="1" w:lastColumn="0" w:lastRow="0" w:noHBand="0" w:noVBand="1" w:val="04A0"/>
      </w:tblPr>
      <w:tblGrid>
        <w:gridCol w:w="2594"/>
        <w:gridCol w:w="2594"/>
        <w:gridCol w:w="2594"/>
        <w:gridCol w:w="2594"/>
      </w:tblGrid>
      <w:tr>
        <w:tc>
          <w:tcPr>
            <w:tcW w:type="dxa" w:w="2594"/>
            <w:vAlign w:val="center"/>
            <w:tcMar>
              <w:top w:w="90" w:type="dxa"/>
              <w:start w:w="110" w:type="dxa"/>
              <w:bottom w:w="90" w:type="dxa"/>
              <w:end w:w="110" w:type="dxa"/>
            </w:tcMar>
            <w:shd w:fill="EAF7FB"/>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6"/>
              </w:rPr>
              <w:t>‫مؤجل كما ينبغي‬</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‫الحالة‬</w:t>
            </w:r>
          </w:p>
        </w:tc>
        <w:tc>
          <w:tcPr>
            <w:tcW w:type="dxa" w:w="2594"/>
            <w:vAlign w:val="center"/>
            <w:tcMar>
              <w:top w:w="90" w:type="dxa"/>
              <w:start w:w="110" w:type="dxa"/>
              <w:bottom w:w="90" w:type="dxa"/>
              <w:end w:w="110" w:type="dxa"/>
            </w:tcMar>
            <w:shd w:fill="EAF7FB"/>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6"/>
              </w:rPr>
              <w:t>‫مؤجل‬</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‫الإغلاق‬</w:t>
            </w:r>
          </w:p>
        </w:tc>
      </w:tr>
    </w:tbl>
    <w:p>
      <w:pPr>
        <w:spacing w:before="100" w:after="120" w:line="276" w:lineRule="auto"/>
        <w:jc w:val="right"/>
        <w:bidi w:val="1"/>
      </w:pPr>
      <w:r>
        <w:rPr>
          <w:rFonts w:ascii="Noto Sans Arabic" w:hAnsi="Noto Sans Arabic" w:eastAsia="Noto Sans Arabic" w:cs="Noto Sans Arabic"/>
          <w:b w:val="0"/>
          <w:color w:val="495368"/>
          <w:sz w:val="19"/>
        </w:rPr>
        <w:t>‫هذه المهمة ليست متأخرة؛ هي مؤجلة منطقيًا حتى استقرار MVP. الخطر هو البدء بها قبل إغلاق المهام 0 إلى 20.‬</w:t>
      </w:r>
    </w:p>
    <w:p>
      <w:pPr>
        <w:spacing w:before="100" w:after="60"/>
        <w:jc w:val="right"/>
        <w:keepNext/>
        <w:bidi w:val="1"/>
      </w:pPr>
      <w:r>
        <w:rPr>
          <w:rFonts w:ascii="Noto Kufi Arabic" w:hAnsi="Noto Kufi Arabic" w:eastAsia="Noto Kufi Arabic" w:cs="Noto Kufi Arabic"/>
          <w:b/>
          <w:color w:val="1D8E5A"/>
          <w:sz w:val="21"/>
        </w:rPr>
        <w:t>‫تم إنجازه فعليًا‬</w:t>
      </w:r>
    </w:p>
    <w:p>
      <w:pPr>
        <w:spacing w:after="50" w:line="259" w:lineRule="auto"/>
        <w:ind w:right="142" w:hanging="102"/>
        <w:jc w:val="right"/>
        <w:bidi w:val="1"/>
      </w:pPr>
      <w:r>
        <w:rPr>
          <w:rFonts w:ascii="Noto Sans Symbols 2" w:hAnsi="Noto Sans Symbols 2" w:eastAsia="Noto Sans Symbols 2" w:cs="Noto Sans Symbols 2"/>
          <w:b/>
          <w:color w:val="1D8E5A"/>
          <w:sz w:val="19"/>
        </w:rPr>
        <w:t xml:space="preserve">● </w:t>
      </w:r>
      <w:r>
        <w:rPr>
          <w:rFonts w:ascii="Noto Sans Arabic" w:hAnsi="Noto Sans Arabic" w:eastAsia="Noto Sans Arabic" w:cs="Noto Sans Arabic"/>
          <w:b w:val="0"/>
          <w:color w:val="1D2433"/>
          <w:sz w:val="19"/>
        </w:rPr>
        <w:t>‫تحديد عناصر ما بعد الإطلاق في القائمة الأصلية: بنوك أسئلة بالذكاء الاصطناعي، نقل Jotform، Benchmarking، PDF مخصص، LRS، وتطبيق جوال.‬</w:t>
      </w:r>
    </w:p>
    <w:p>
      <w:pPr>
        <w:spacing w:before="100" w:after="60"/>
        <w:jc w:val="right"/>
        <w:keepNext/>
        <w:bidi w:val="1"/>
      </w:pPr>
      <w:r>
        <w:rPr>
          <w:rFonts w:ascii="Noto Kufi Arabic" w:hAnsi="Noto Kufi Arabic" w:eastAsia="Noto Kufi Arabic" w:cs="Noto Kufi Arabic"/>
          <w:b/>
          <w:color w:val="A96B00"/>
          <w:sz w:val="21"/>
        </w:rPr>
        <w:t>‫منجز جزئيًا أو يحتاج إثباتًا‬</w:t>
      </w:r>
    </w:p>
    <w:p>
      <w:pPr>
        <w:spacing w:after="50" w:line="259" w:lineRule="auto"/>
        <w:ind w:right="142" w:hanging="102"/>
        <w:jc w:val="right"/>
        <w:bidi w:val="1"/>
      </w:pPr>
      <w:r>
        <w:rPr>
          <w:rFonts w:ascii="Noto Sans Symbols 2" w:hAnsi="Noto Sans Symbols 2" w:eastAsia="Noto Sans Symbols 2" w:cs="Noto Sans Symbols 2"/>
          <w:b/>
          <w:color w:val="A96B00"/>
          <w:sz w:val="19"/>
        </w:rPr>
        <w:t xml:space="preserve">◐ </w:t>
      </w:r>
      <w:r>
        <w:rPr>
          <w:rFonts w:ascii="Noto Sans Arabic" w:hAnsi="Noto Sans Arabic" w:eastAsia="Noto Sans Arabic" w:cs="Noto Sans Arabic"/>
          <w:b w:val="0"/>
          <w:color w:val="1D2433"/>
          <w:sz w:val="19"/>
        </w:rPr>
        <w:t>‫لا توجد آلية Backlog أو ترتيب قيمة ومخاطر مثبتة.‬</w:t>
      </w:r>
    </w:p>
    <w:p>
      <w:pPr>
        <w:spacing w:before="100" w:after="60"/>
        <w:jc w:val="right"/>
        <w:keepNext/>
        <w:bidi w:val="1"/>
      </w:pPr>
      <w:r>
        <w:rPr>
          <w:rFonts w:ascii="Noto Kufi Arabic" w:hAnsi="Noto Kufi Arabic" w:eastAsia="Noto Kufi Arabic" w:cs="Noto Kufi Arabic"/>
          <w:b/>
          <w:color w:val="B42318"/>
          <w:sz w:val="21"/>
        </w:rPr>
        <w:t>‫المتبقي للإغلاق‬</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‫عدم تنفيذ أي امتداد قبل Pilot ناجح واستقرار الإنتاج.‬</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‫بعد الإطلاق: مراقبة التكاليف والمطابقة وزمن التقرير وفشل التكاملات.‬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‫Retrospective وترتيب Backlog بمعيار قيمة ومخاطر ومعيار قبول.‬</w:t>
      </w:r>
    </w:p>
    <w:p>
      <w:pPr>
        <w:spacing w:before="100" w:after="60"/>
        <w:jc w:val="right"/>
        <w:keepNext/>
        <w:bidi w:val="1"/>
      </w:pPr>
      <w:r>
        <w:rPr>
          <w:rFonts w:ascii="Noto Kufi Arabic" w:hAnsi="Noto Kufi Arabic" w:eastAsia="Noto Kufi Arabic" w:cs="Noto Kufi Arabic"/>
          <w:b/>
          <w:color w:val="6D35E8"/>
          <w:sz w:val="21"/>
        </w:rPr>
        <w:t>‫الدليل‬</w:t>
      </w:r>
    </w:p>
    <w:p>
      <w:pPr>
        <w:spacing w:before="0" w:after="80" w:line="276" w:lineRule="auto"/>
        <w:jc w:val="right"/>
        <w:bidi w:val="1"/>
      </w:pPr>
      <w:r>
        <w:rPr>
          <w:rFonts w:ascii="Noto Sans Arabic" w:hAnsi="Noto Sans Arabic" w:eastAsia="Noto Sans Arabic" w:cs="Noto Sans Arabic"/>
          <w:b w:val="0"/>
          <w:color w:val="495368"/>
          <w:sz w:val="17"/>
        </w:rPr>
        <w:t>‫04-roadmap.md وقائمة المهام الأصلية‬</w:t>
      </w:r>
    </w:p>
    <w:tbl>
      <w:tblPr>
        <w:tblW w:type="auto" w:w="0"/>
        <w:jc w:val="center"/>
        <w:tblLayout w:type="fixed"/>
        <w:tblLook w:firstColumn="1" w:firstRow="1" w:lastColumn="0" w:lastRow="0" w:noHBand="0" w:noVBand="1" w:val="04A0"/>
      </w:tblPr>
      <w:tblGrid>
        <w:gridCol w:w="9638"/>
        <w:gridCol w:w="312"/>
      </w:tblGrid>
      <w:tr>
        <w:tc>
          <w:tcPr>
            <w:tcW w:type="dxa" w:w="5188"/>
            <w:shd w:fill="EAF7FB"/>
            <w:tcBorders>
              <w:top w:val="single" w:sz="4" w:color="147EA1"/>
              <w:start w:val="single" w:sz="4" w:color="147EA1"/>
              <w:bottom w:val="single" w:sz="4" w:color="147EA1"/>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147EA1"/>
                <w:sz w:val="19"/>
              </w:rPr>
              <w:t>‫نتيجة معيار القبول‬</w:t>
            </w:r>
          </w:p>
          <w:p>
            <w:pPr>
              <w:spacing w:after="0" w:line="259" w:lineRule="auto"/>
              <w:jc w:val="right"/>
              <w:bidi w:val="1"/>
            </w:pPr>
            <w:r>
              <w:rPr>
                <w:rFonts w:ascii="Noto Sans Arabic" w:hAnsi="Noto Sans Arabic" w:eastAsia="Noto Sans Arabic" w:cs="Noto Sans Arabic"/>
                <w:b w:val="0"/>
                <w:color w:val="1D2433"/>
                <w:sz w:val="18"/>
              </w:rPr>
              <w:t>‫مؤجلة؛ لا تُفتح قبل إغلاق MVP وقياسه.‬</w:t>
            </w:r>
          </w:p>
        </w:tc>
        <w:tc>
          <w:tcPr>
            <w:tcW w:type="dxa" w:w="5188"/>
            <w:shd w:fill="147EA1"/>
            <w:tcBorders>
              <w:top w:val="single" w:sz="4" w:color="147EA1"/>
              <w:start w:val="nil"/>
              <w:bottom w:val="single" w:sz="4" w:color="147EA1"/>
              <w:end w:val="single" w:sz="4" w:color="147EA1"/>
            </w:tcBorders>
            <w:tcMar>
              <w:top w:w="0" w:type="dxa"/>
              <w:start w:w="0" w:type="dxa"/>
              <w:bottom w:w="0" w:type="dxa"/>
              <w:end w:w="0" w:type="dxa"/>
            </w:tcMar>
          </w:tcPr>
          <w:p/>
        </w:tc>
      </w:tr>
    </w:tbl>
    <w:p>
      <w:pPr>
        <w:spacing w:after="0"/>
      </w:pPr>
    </w:p>
    <w:p>
      <w:r>
        <w:br w:type="page"/>
      </w:r>
    </w:p>
    <w:p>
      <w:pPr>
        <w:spacing w:before="160" w:after="80"/>
        <w:jc w:val="right"/>
        <w:keepNext/>
        <w:bidi w:val="1"/>
      </w:pPr>
      <w:r>
        <w:rPr>
          <w:rFonts w:ascii="Noto Kufi Arabic" w:hAnsi="Noto Kufi Arabic" w:eastAsia="Noto Kufi Arabic" w:cs="Noto Kufi Arabic"/>
          <w:b/>
          <w:color w:val="0B1026"/>
          <w:sz w:val="30"/>
        </w:rPr>
        <w:t>‫7 · سجل المخاطر الحالي‬</w:t>
      </w:r>
    </w:p>
    <w:p>
      <w:pPr>
        <w:spacing w:before="0" w:after="140" w:line="276" w:lineRule="auto"/>
        <w:jc w:val="right"/>
        <w:bidi w:val="1"/>
        <w:keepNext/>
      </w:pPr>
      <w:r>
        <w:rPr>
          <w:rFonts w:ascii="Noto Sans Arabic" w:hAnsi="Noto Sans Arabic" w:eastAsia="Noto Sans Arabic" w:cs="Noto Sans Arabic"/>
          <w:b w:val="0"/>
          <w:color w:val="747F94"/>
          <w:sz w:val="18"/>
        </w:rPr>
        <w:t>‫المخاطر التي تمنع الإطلاق أو تفسد الثقة في النتائج‬</w:t>
      </w:r>
    </w:p>
    <w:tbl>
      <w:tblPr>
        <w:tblW w:type="auto" w:w="0"/>
        <w:jc w:val="center"/>
        <w:tblLayout w:type="fixed"/>
        <w:tblLook w:firstColumn="1" w:firstRow="1" w:lastColumn="0" w:lastRow="0" w:noHBand="0" w:noVBand="1" w:val="04A0"/>
      </w:tblPr>
      <w:tblGrid>
        <w:gridCol w:w="2594"/>
        <w:gridCol w:w="2594"/>
        <w:gridCol w:w="2594"/>
        <w:gridCol w:w="2594"/>
      </w:tblGrid>
      <w:tr>
        <w:trPr>
          <w:tblHeader w:val="true"/>
        </w:trPr>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‫الشدة‬</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‫الخطر‬</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‫الأثر‬</w:t>
            </w:r>
          </w:p>
        </w:tc>
        <w:tc>
          <w:tcPr>
            <w:tcW w:type="dxa" w:w="2594"/>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6"/>
              </w:rPr>
              <w:t>‫الإجراء‬</w:t>
            </w:r>
          </w:p>
        </w:tc>
      </w:tr>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‫حرج‬</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‫خلط الحقيقي بالمحاكاة‬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‫قد يظن العميل أن التقارير والشهادات والجلسات تعمل‬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‫فصل أو وسم المحاكاة فورًا‬</w:t>
            </w:r>
          </w:p>
        </w:tc>
      </w:tr>
      <w:tr>
        <w:tc>
          <w:tcPr>
            <w:tcW w:type="dxa" w:w="2594"/>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‫حرج‬</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‫لا توجد رحلة E2E‬</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‫لا يمكن إثبات أن القبلي واللحظي والبعدي ينتجون تقريرًا وشهادة‬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‫إكمال Jotform ثم xAPI ثم المحرك والاختبارات‬</w:t>
            </w:r>
          </w:p>
        </w:tc>
      </w:tr>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‫عالٍ‬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‫غياب اختبارات RLS‬</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‫خطأ سياسة واحدة قد يكشف بيانات جهة‬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‫اختبارات حسابين وجهتين لكل جدول‬</w:t>
            </w:r>
          </w:p>
        </w:tc>
      </w:tr>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‫عالٍ‬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‫التوجيه يعتمد أحدث تسجيل‬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‫قد يوجه المتدرب إلى برنامج خاطئ‬</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‫تمرير سياق enrollment أو route token‬</w:t>
            </w:r>
          </w:p>
        </w:tc>
      </w:tr>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‫عالٍ‬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‫لا Rate Limiting للمسار العام‬</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‫تعداد رموز AMD-XXXXX واكتشاف حالات تشغيل‬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‫طبقة API وحدود ومراقبة‬</w:t>
            </w:r>
          </w:p>
        </w:tc>
      </w:tr>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‫عالٍ‬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‫لا PDPL أو استعادة مجربة‬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‫مخاطر امتثال وفقد بيانات‬</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‫اعتماد سياسة واختبار Restore‬</w:t>
            </w:r>
          </w:p>
        </w:tc>
      </w:tr>
      <w:tr>
        <w:tc>
          <w:tcPr>
            <w:tcW w:type="dxa" w:w="2594"/>
            <w:vAlign w:val="center"/>
            <w:tcMar>
              <w:top w:w="90" w:type="dxa"/>
              <w:start w:w="110" w:type="dxa"/>
              <w:bottom w:w="90" w:type="dxa"/>
              <w:end w:w="110" w:type="dxa"/>
            </w:tcMar>
            <w:shd w:fill="FFF5D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A96B00"/>
                <w:sz w:val="16"/>
              </w:rPr>
              <w:t>‫عالٍ‬</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‫لا مستودع Git مثبت ولا CI‬</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‫لا أثر موثوق للإصدارات أو الحماية من الدمج الخاطئ‬</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‫مستودع مملوك وحماية main‬</w:t>
            </w:r>
          </w:p>
        </w:tc>
      </w:tr>
      <w:tr>
        <w:tc>
          <w:tcPr>
            <w:tcW w:type="dxa" w:w="2594"/>
            <w:vAlign w:val="center"/>
            <w:tcMar>
              <w:top w:w="90" w:type="dxa"/>
              <w:start w:w="110" w:type="dxa"/>
              <w:bottom w:w="90" w:type="dxa"/>
              <w:end w:w="110" w:type="dxa"/>
            </w:tcMar>
            <w:shd w:fill="EAF7FB"/>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6"/>
              </w:rPr>
              <w:t>‫متوسط‬</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‫نسخ قديمة ومتكررة‬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‫خطر تعديل الملف الخطأ وعودة بيانات تجريبية‬</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‫تنظيف بعد تأكيد عدم الاستخدام‬</w:t>
            </w:r>
          </w:p>
        </w:tc>
      </w:tr>
      <w:tr>
        <w:tc>
          <w:tcPr>
            <w:tcW w:type="dxa" w:w="2594"/>
            <w:vAlign w:val="center"/>
            <w:tcMar>
              <w:top w:w="90" w:type="dxa"/>
              <w:start w:w="110" w:type="dxa"/>
              <w:bottom w:w="90" w:type="dxa"/>
              <w:end w:w="110" w:type="dxa"/>
            </w:tcMar>
            <w:shd w:fill="EAF7FB"/>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6"/>
              </w:rPr>
              <w:t>‫متوسط‬</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‫تعارض الوثائق‬</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‫المطور ينفذ OTP أو بيئات أو مفاتيح باسم خاطئ‬</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‫تحديث وثيقة واحدة مرجعية‬</w:t>
            </w:r>
          </w:p>
        </w:tc>
      </w:tr>
      <w:tr>
        <w:tc>
          <w:tcPr>
            <w:tcW w:type="dxa" w:w="2594"/>
            <w:vAlign w:val="center"/>
            <w:tcMar>
              <w:top w:w="90" w:type="dxa"/>
              <w:start w:w="110" w:type="dxa"/>
              <w:bottom w:w="90" w:type="dxa"/>
              <w:end w:w="110" w:type="dxa"/>
            </w:tcMar>
            <w:shd w:fill="EAF7FB"/>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147EA1"/>
                <w:sz w:val="16"/>
              </w:rPr>
              <w:t>‫متوسط‬</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1D2433"/>
                <w:sz w:val="16"/>
              </w:rPr>
              <w:t>‫لا NEXT_PUBLIC_APP_URL‬</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‫QR يعمل على الجهاز نفسه ويفشل من الهاتف‬</w:t>
            </w:r>
          </w:p>
        </w:tc>
        <w:tc>
          <w:tcPr>
            <w:tcW w:type="dxa" w:w="2594"/>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‫ضبط URL منشور واختبار حقيقي‬</w:t>
            </w:r>
          </w:p>
        </w:tc>
      </w:tr>
    </w:tbl>
    <w:p>
      <w:pPr>
        <w:spacing w:before="160" w:after="80"/>
        <w:jc w:val="right"/>
        <w:keepNext/>
        <w:bidi w:val="1"/>
      </w:pPr>
      <w:r>
        <w:rPr>
          <w:rFonts w:ascii="Noto Kufi Arabic" w:hAnsi="Noto Kufi Arabic" w:eastAsia="Noto Kufi Arabic" w:cs="Noto Kufi Arabic"/>
          <w:b/>
          <w:color w:val="0B1026"/>
          <w:sz w:val="30"/>
        </w:rPr>
        <w:t>‫8 · خطة التنفيذ من نقطة التوقف الصحيحة‬</w:t>
      </w:r>
    </w:p>
    <w:p>
      <w:pPr>
        <w:spacing w:before="0" w:after="140" w:line="276" w:lineRule="auto"/>
        <w:jc w:val="right"/>
        <w:bidi w:val="1"/>
        <w:keepNext/>
      </w:pPr>
      <w:r>
        <w:rPr>
          <w:rFonts w:ascii="Noto Sans Arabic" w:hAnsi="Noto Sans Arabic" w:eastAsia="Noto Sans Arabic" w:cs="Noto Sans Arabic"/>
          <w:b w:val="0"/>
          <w:color w:val="747F94"/>
          <w:sz w:val="18"/>
        </w:rPr>
        <w:t>‫الترتيب الذي يغلق المخاطر بدل فتح واجهات إضافية‬</w:t>
      </w:r>
    </w:p>
    <w:tbl>
      <w:tblPr>
        <w:tblW w:type="auto" w:w="0"/>
        <w:jc w:val="center"/>
        <w:tblLayout w:type="fixed"/>
        <w:tblLook w:firstColumn="1" w:firstRow="1" w:lastColumn="0" w:lastRow="0" w:noHBand="0" w:noVBand="1" w:val="04A0"/>
      </w:tblPr>
      <w:tblGrid>
        <w:gridCol w:w="8844"/>
        <w:gridCol w:w="1247"/>
      </w:tblGrid>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0B1026"/>
                <w:sz w:val="20"/>
              </w:rPr>
              <w:t>‫البوابة 1 · حسم Jotform‬</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6D35E8"/>
                <w:sz w:val="16"/>
              </w:rPr>
              <w:t>‫الآن‬</w:t>
            </w:r>
          </w:p>
        </w:tc>
      </w:tr>
    </w:tbl>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‫اعتماد النموذج القبلي والبعدي وحقل traineeId المقفل.‬</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‫اعتماد answer_key ونوع الأسئلة والثقة وربطهما بإصدار البرنامج.‬</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‫عدم تشغيل migration 008 قبل نجاح هذا الاعتماد.‬</w:t>
      </w:r>
    </w:p>
    <w:tbl>
      <w:tblPr>
        <w:tblW w:type="auto" w:w="0"/>
        <w:jc w:val="center"/>
        <w:tblLayout w:type="fixed"/>
        <w:tblLook w:firstColumn="1" w:firstRow="1" w:lastColumn="0" w:lastRow="0" w:noHBand="0" w:noVBand="1" w:val="04A0"/>
      </w:tblPr>
      <w:tblGrid>
        <w:gridCol w:w="9638"/>
        <w:gridCol w:w="312"/>
      </w:tblGrid>
      <w:tr>
        <w:tc>
          <w:tcPr>
            <w:tcW w:type="dxa" w:w="5188"/>
            <w:shd w:fill="EAF7F0"/>
            <w:tcBorders>
              <w:top w:val="single" w:sz="4" w:color="1D8E5A"/>
              <w:start w:val="single" w:sz="4" w:color="1D8E5A"/>
              <w:bottom w:val="single" w:sz="4" w:color="1D8E5A"/>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1D8E5A"/>
                <w:sz w:val="19"/>
              </w:rPr>
              <w:t>‫بوابة الانتقال‬</w:t>
            </w:r>
          </w:p>
          <w:p>
            <w:pPr>
              <w:spacing w:after="0" w:line="259" w:lineRule="auto"/>
              <w:jc w:val="right"/>
              <w:bidi w:val="1"/>
            </w:pPr>
            <w:r>
              <w:rPr>
                <w:rFonts w:ascii="Noto Sans Arabic" w:hAnsi="Noto Sans Arabic" w:eastAsia="Noto Sans Arabic" w:cs="Noto Sans Arabic"/>
                <w:b w:val="0"/>
                <w:color w:val="1D2433"/>
                <w:sz w:val="18"/>
              </w:rPr>
              <w:t>‫نماذج وروابط prefill مجربة من الجوال، ومخطط mapping معتمد.‬</w:t>
            </w:r>
          </w:p>
        </w:tc>
        <w:tc>
          <w:tcPr>
            <w:tcW w:type="dxa" w:w="5188"/>
            <w:shd w:fill="1D8E5A"/>
            <w:tcBorders>
              <w:top w:val="single" w:sz="4" w:color="1D8E5A"/>
              <w:start w:val="nil"/>
              <w:bottom w:val="single" w:sz="4" w:color="1D8E5A"/>
              <w:end w:val="single" w:sz="4" w:color="1D8E5A"/>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8844"/>
        <w:gridCol w:w="1247"/>
      </w:tblGrid>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0B1026"/>
                <w:sz w:val="20"/>
              </w:rPr>
              <w:t>‫البوابة 2 · استقبال Jotform‬</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6D35E8"/>
                <w:sz w:val="16"/>
              </w:rPr>
              <w:t>‫بعد البوابة 1‬</w:t>
            </w:r>
          </w:p>
        </w:tc>
      </w:tr>
    </w:tbl>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‫تطبيق migration 008 فقط، ثم انتظار تأكيد نجاحها قبل أي مهاجرة لاحقة.‬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‫تنفيذ Next.js Route Handler موحد للـWebhook وReconciliation.‬</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‫Idempotency وتسجيل الفشل واختبارات إرسال فعلي.‬</w:t>
      </w:r>
    </w:p>
    <w:tbl>
      <w:tblPr>
        <w:tblW w:type="auto" w:w="0"/>
        <w:jc w:val="center"/>
        <w:tblLayout w:type="fixed"/>
        <w:tblLook w:firstColumn="1" w:firstRow="1" w:lastColumn="0" w:lastRow="0" w:noHBand="0" w:noVBand="1" w:val="04A0"/>
      </w:tblPr>
      <w:tblGrid>
        <w:gridCol w:w="9638"/>
        <w:gridCol w:w="312"/>
      </w:tblGrid>
      <w:tr>
        <w:tc>
          <w:tcPr>
            <w:tcW w:type="dxa" w:w="5188"/>
            <w:shd w:fill="EAF7F0"/>
            <w:tcBorders>
              <w:top w:val="single" w:sz="4" w:color="1D8E5A"/>
              <w:start w:val="single" w:sz="4" w:color="1D8E5A"/>
              <w:bottom w:val="single" w:sz="4" w:color="1D8E5A"/>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1D8E5A"/>
                <w:sz w:val="19"/>
              </w:rPr>
              <w:t>‫بوابة الانتقال‬</w:t>
            </w:r>
          </w:p>
          <w:p>
            <w:pPr>
              <w:spacing w:after="0" w:line="259" w:lineRule="auto"/>
              <w:jc w:val="right"/>
              <w:bidi w:val="1"/>
            </w:pPr>
            <w:r>
              <w:rPr>
                <w:rFonts w:ascii="Noto Sans Arabic" w:hAnsi="Noto Sans Arabic" w:eastAsia="Noto Sans Arabic" w:cs="Noto Sans Arabic"/>
                <w:b w:val="0"/>
                <w:color w:val="1D2433"/>
                <w:sz w:val="18"/>
              </w:rPr>
              <w:t>‫إرسال قبلي وبعدي يظهران في Supabase مصححين بلا تكرار.‬</w:t>
            </w:r>
          </w:p>
        </w:tc>
        <w:tc>
          <w:tcPr>
            <w:tcW w:type="dxa" w:w="5188"/>
            <w:shd w:fill="1D8E5A"/>
            <w:tcBorders>
              <w:top w:val="single" w:sz="4" w:color="1D8E5A"/>
              <w:start w:val="nil"/>
              <w:bottom w:val="single" w:sz="4" w:color="1D8E5A"/>
              <w:end w:val="single" w:sz="4" w:color="1D8E5A"/>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8844"/>
        <w:gridCol w:w="1247"/>
      </w:tblGrid>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0B1026"/>
                <w:sz w:val="20"/>
              </w:rPr>
              <w:t>‫البوابة 3 · xAPI‬</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6D35E8"/>
                <w:sz w:val="16"/>
              </w:rPr>
              <w:t>‫بعد ثبات Jotform‬</w:t>
            </w:r>
          </w:p>
        </w:tc>
      </w:tr>
    </w:tbl>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‫اعتماد القاموس مع AmadXR.‬</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‫إنشاء POST /api/xapi ومفاتيح الجهات والتحقق والحدود.‬</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‫اختبار جلسة فعلية، التكرار، الانقطاع، والمفتاح الملغى.‬</w:t>
      </w:r>
    </w:p>
    <w:tbl>
      <w:tblPr>
        <w:tblW w:type="auto" w:w="0"/>
        <w:jc w:val="center"/>
        <w:tblLayout w:type="fixed"/>
        <w:tblLook w:firstColumn="1" w:firstRow="1" w:lastColumn="0" w:lastRow="0" w:noHBand="0" w:noVBand="1" w:val="04A0"/>
      </w:tblPr>
      <w:tblGrid>
        <w:gridCol w:w="9638"/>
        <w:gridCol w:w="312"/>
      </w:tblGrid>
      <w:tr>
        <w:tc>
          <w:tcPr>
            <w:tcW w:type="dxa" w:w="5188"/>
            <w:shd w:fill="EAF7F0"/>
            <w:tcBorders>
              <w:top w:val="single" w:sz="4" w:color="1D8E5A"/>
              <w:start w:val="single" w:sz="4" w:color="1D8E5A"/>
              <w:bottom w:val="single" w:sz="4" w:color="1D8E5A"/>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1D8E5A"/>
                <w:sz w:val="19"/>
              </w:rPr>
              <w:t>‫بوابة الانتقال‬</w:t>
            </w:r>
          </w:p>
          <w:p>
            <w:pPr>
              <w:spacing w:after="0" w:line="259" w:lineRule="auto"/>
              <w:jc w:val="right"/>
              <w:bidi w:val="1"/>
            </w:pPr>
            <w:r>
              <w:rPr>
                <w:rFonts w:ascii="Noto Sans Arabic" w:hAnsi="Noto Sans Arabic" w:eastAsia="Noto Sans Arabic" w:cs="Noto Sans Arabic"/>
                <w:b w:val="0"/>
                <w:color w:val="1D2433"/>
                <w:sz w:val="18"/>
              </w:rPr>
              <w:t>‫جلسة كاملة مرتبطة بالتسجيل الصحيح وأحداثها غير مكررة.‬</w:t>
            </w:r>
          </w:p>
        </w:tc>
        <w:tc>
          <w:tcPr>
            <w:tcW w:type="dxa" w:w="5188"/>
            <w:shd w:fill="1D8E5A"/>
            <w:tcBorders>
              <w:top w:val="single" w:sz="4" w:color="1D8E5A"/>
              <w:start w:val="nil"/>
              <w:bottom w:val="single" w:sz="4" w:color="1D8E5A"/>
              <w:end w:val="single" w:sz="4" w:color="1D8E5A"/>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8844"/>
        <w:gridCol w:w="1247"/>
      </w:tblGrid>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0B1026"/>
                <w:sz w:val="20"/>
              </w:rPr>
              <w:t>‫البوابة 4 · المحرك والتقرير والشهادة‬</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6D35E8"/>
                <w:sz w:val="16"/>
              </w:rPr>
              <w:t>‫بعد اكتمال المصادر‬</w:t>
            </w:r>
          </w:p>
        </w:tc>
      </w:tr>
    </w:tbl>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‫scoring والأثر الفردي والجماعي مع snapshots وإصدارات.‬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‫إصدار شهادة عند البعدي 80% أو أكثر، وإلغاء وإعادة إصدار.‬</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‫تحقق عام فعلي وQR مطبوع.‬</w:t>
      </w:r>
    </w:p>
    <w:tbl>
      <w:tblPr>
        <w:tblW w:type="auto" w:w="0"/>
        <w:jc w:val="center"/>
        <w:tblLayout w:type="fixed"/>
        <w:tblLook w:firstColumn="1" w:firstRow="1" w:lastColumn="0" w:lastRow="0" w:noHBand="0" w:noVBand="1" w:val="04A0"/>
      </w:tblPr>
      <w:tblGrid>
        <w:gridCol w:w="9638"/>
        <w:gridCol w:w="312"/>
      </w:tblGrid>
      <w:tr>
        <w:tc>
          <w:tcPr>
            <w:tcW w:type="dxa" w:w="5188"/>
            <w:shd w:fill="EAF7F0"/>
            <w:tcBorders>
              <w:top w:val="single" w:sz="4" w:color="1D8E5A"/>
              <w:start w:val="single" w:sz="4" w:color="1D8E5A"/>
              <w:bottom w:val="single" w:sz="4" w:color="1D8E5A"/>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1D8E5A"/>
                <w:sz w:val="19"/>
              </w:rPr>
              <w:t>‫بوابة الانتقال‬</w:t>
            </w:r>
          </w:p>
          <w:p>
            <w:pPr>
              <w:spacing w:after="0" w:line="259" w:lineRule="auto"/>
              <w:jc w:val="right"/>
              <w:bidi w:val="1"/>
            </w:pPr>
            <w:r>
              <w:rPr>
                <w:rFonts w:ascii="Noto Sans Arabic" w:hAnsi="Noto Sans Arabic" w:eastAsia="Noto Sans Arabic" w:cs="Noto Sans Arabic"/>
                <w:b w:val="0"/>
                <w:color w:val="1D2433"/>
                <w:sz w:val="18"/>
              </w:rPr>
              <w:t>‫رحلة بيانات كاملة قابلة لإعادة الإنتاج والتدقيق.‬</w:t>
            </w:r>
          </w:p>
        </w:tc>
        <w:tc>
          <w:tcPr>
            <w:tcW w:type="dxa" w:w="5188"/>
            <w:shd w:fill="1D8E5A"/>
            <w:tcBorders>
              <w:top w:val="single" w:sz="4" w:color="1D8E5A"/>
              <w:start w:val="nil"/>
              <w:bottom w:val="single" w:sz="4" w:color="1D8E5A"/>
              <w:end w:val="single" w:sz="4" w:color="1D8E5A"/>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8844"/>
        <w:gridCol w:w="1247"/>
      </w:tblGrid>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0B1026"/>
                <w:sz w:val="20"/>
              </w:rPr>
              <w:t>‫البوابة 5 · استبدال المحاكاة‬</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6D35E8"/>
                <w:sz w:val="16"/>
              </w:rPr>
              <w:t>‫قبل أي عرض إنتاجي‬</w:t>
            </w:r>
          </w:p>
        </w:tc>
      </w:tr>
    </w:tbl>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‫ربط dashboard والجلسات والتقارير والشهادات والجهات والإعدادات.‬</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‫حذف أو عزل الملفات التجريبية والبيانات الثابتة.‬</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‫ربط مبدل الجهة والهوية والمستخدم بالبيانات الفعلية.‬</w:t>
      </w:r>
    </w:p>
    <w:tbl>
      <w:tblPr>
        <w:tblW w:type="auto" w:w="0"/>
        <w:jc w:val="center"/>
        <w:tblLayout w:type="fixed"/>
        <w:tblLook w:firstColumn="1" w:firstRow="1" w:lastColumn="0" w:lastRow="0" w:noHBand="0" w:noVBand="1" w:val="04A0"/>
      </w:tblPr>
      <w:tblGrid>
        <w:gridCol w:w="9638"/>
        <w:gridCol w:w="312"/>
      </w:tblGrid>
      <w:tr>
        <w:tc>
          <w:tcPr>
            <w:tcW w:type="dxa" w:w="5188"/>
            <w:shd w:fill="EAF7F0"/>
            <w:tcBorders>
              <w:top w:val="single" w:sz="4" w:color="1D8E5A"/>
              <w:start w:val="single" w:sz="4" w:color="1D8E5A"/>
              <w:bottom w:val="single" w:sz="4" w:color="1D8E5A"/>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1D8E5A"/>
                <w:sz w:val="19"/>
              </w:rPr>
              <w:t>‫بوابة الانتقال‬</w:t>
            </w:r>
          </w:p>
          <w:p>
            <w:pPr>
              <w:spacing w:after="0" w:line="259" w:lineRule="auto"/>
              <w:jc w:val="right"/>
              <w:bidi w:val="1"/>
            </w:pPr>
            <w:r>
              <w:rPr>
                <w:rFonts w:ascii="Noto Sans Arabic" w:hAnsi="Noto Sans Arabic" w:eastAsia="Noto Sans Arabic" w:cs="Noto Sans Arabic"/>
                <w:b w:val="0"/>
                <w:color w:val="1D2433"/>
                <w:sz w:val="18"/>
              </w:rPr>
              <w:t>‫لا تعرض أي صفحة تشغيلية بيانات غير حقيقية دون وسم.‬</w:t>
            </w:r>
          </w:p>
        </w:tc>
        <w:tc>
          <w:tcPr>
            <w:tcW w:type="dxa" w:w="5188"/>
            <w:shd w:fill="1D8E5A"/>
            <w:tcBorders>
              <w:top w:val="single" w:sz="4" w:color="1D8E5A"/>
              <w:start w:val="nil"/>
              <w:bottom w:val="single" w:sz="4" w:color="1D8E5A"/>
              <w:end w:val="single" w:sz="4" w:color="1D8E5A"/>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8844"/>
        <w:gridCol w:w="1247"/>
      </w:tblGrid>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0B1026"/>
                <w:sz w:val="20"/>
              </w:rPr>
              <w:t>‫البوابة 6 · الجودة والأمن والإطلاق‬</w:t>
            </w:r>
          </w:p>
        </w:tc>
        <w:tc>
          <w:tcPr>
            <w:tcW w:type="dxa" w:w="5188"/>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6D35E8"/>
                <w:sz w:val="16"/>
              </w:rPr>
              <w:t>‫قبل Pilot‬</w:t>
            </w:r>
          </w:p>
        </w:tc>
      </w:tr>
    </w:tbl>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‫Unit وIntegration وRLS وE2E والأجهزة والوصول.‬</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‫PDPL وRate Limiting وCSP وBackup/Restore وRunbooks.‬</w:t>
      </w:r>
    </w:p>
    <w:p>
      <w:pPr>
        <w:spacing w:after="50" w:line="259" w:lineRule="auto"/>
        <w:ind w:right="142" w:hanging="102"/>
        <w:jc w:val="right"/>
        <w:bidi w:val="1"/>
      </w:pPr>
      <w:r>
        <w:rPr>
          <w:rFonts w:ascii="Noto Sans Symbols 2" w:hAnsi="Noto Sans Symbols 2" w:eastAsia="Noto Sans Symbols 2" w:cs="Noto Sans Symbols 2"/>
          <w:b/>
          <w:color w:val="B42318"/>
          <w:sz w:val="19"/>
        </w:rPr>
        <w:t xml:space="preserve">○ </w:t>
      </w:r>
      <w:r>
        <w:rPr>
          <w:rFonts w:ascii="Noto Sans Arabic" w:hAnsi="Noto Sans Arabic" w:eastAsia="Noto Sans Arabic" w:cs="Noto Sans Arabic"/>
          <w:b w:val="0"/>
          <w:color w:val="1D2433"/>
          <w:sz w:val="19"/>
        </w:rPr>
        <w:t>‫Staging أو استثناء موثق، ثم Pilot، ثم Production وSmoke Tests.‬</w:t>
      </w:r>
    </w:p>
    <w:tbl>
      <w:tblPr>
        <w:tblW w:type="auto" w:w="0"/>
        <w:jc w:val="center"/>
        <w:tblLayout w:type="fixed"/>
        <w:tblLook w:firstColumn="1" w:firstRow="1" w:lastColumn="0" w:lastRow="0" w:noHBand="0" w:noVBand="1" w:val="04A0"/>
      </w:tblPr>
      <w:tblGrid>
        <w:gridCol w:w="9638"/>
        <w:gridCol w:w="312"/>
      </w:tblGrid>
      <w:tr>
        <w:tc>
          <w:tcPr>
            <w:tcW w:type="dxa" w:w="5188"/>
            <w:shd w:fill="EAF7F0"/>
            <w:tcBorders>
              <w:top w:val="single" w:sz="4" w:color="1D8E5A"/>
              <w:start w:val="single" w:sz="4" w:color="1D8E5A"/>
              <w:bottom w:val="single" w:sz="4" w:color="1D8E5A"/>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1D8E5A"/>
                <w:sz w:val="19"/>
              </w:rPr>
              <w:t>‫بوابة الانتقال‬</w:t>
            </w:r>
          </w:p>
          <w:p>
            <w:pPr>
              <w:spacing w:after="0" w:line="259" w:lineRule="auto"/>
              <w:jc w:val="right"/>
              <w:bidi w:val="1"/>
            </w:pPr>
            <w:r>
              <w:rPr>
                <w:rFonts w:ascii="Noto Sans Arabic" w:hAnsi="Noto Sans Arabic" w:eastAsia="Noto Sans Arabic" w:cs="Noto Sans Arabic"/>
                <w:b w:val="0"/>
                <w:color w:val="1D2433"/>
                <w:sz w:val="18"/>
              </w:rPr>
              <w:t>‫بوابات المهام 0 إلى 20 مغلقة أو لها استثناءات مكتوبة معتمدة.‬</w:t>
            </w:r>
          </w:p>
        </w:tc>
        <w:tc>
          <w:tcPr>
            <w:tcW w:type="dxa" w:w="5188"/>
            <w:shd w:fill="1D8E5A"/>
            <w:tcBorders>
              <w:top w:val="single" w:sz="4" w:color="1D8E5A"/>
              <w:start w:val="nil"/>
              <w:bottom w:val="single" w:sz="4" w:color="1D8E5A"/>
              <w:end w:val="single" w:sz="4" w:color="1D8E5A"/>
            </w:tcBorders>
            <w:tcMar>
              <w:top w:w="0" w:type="dxa"/>
              <w:start w:w="0" w:type="dxa"/>
              <w:bottom w:w="0" w:type="dxa"/>
              <w:end w:w="0" w:type="dxa"/>
            </w:tcMar>
          </w:tcPr>
          <w:p/>
        </w:tc>
      </w:tr>
    </w:tbl>
    <w:p>
      <w:pPr>
        <w:spacing w:after="0"/>
      </w:pPr>
    </w:p>
    <w:tbl>
      <w:tblPr>
        <w:tblW w:type="auto" w:w="0"/>
        <w:jc w:val="center"/>
        <w:tblLayout w:type="fixed"/>
        <w:tblLook w:firstColumn="1" w:firstRow="1" w:lastColumn="0" w:lastRow="0" w:noHBand="0" w:noVBand="1" w:val="04A0"/>
      </w:tblPr>
      <w:tblGrid>
        <w:gridCol w:w="9638"/>
        <w:gridCol w:w="312"/>
      </w:tblGrid>
      <w:tr>
        <w:tc>
          <w:tcPr>
            <w:tcW w:type="dxa" w:w="5188"/>
            <w:shd w:fill="F2ECFF"/>
            <w:tcBorders>
              <w:top w:val="single" w:sz="4" w:color="6D35E8"/>
              <w:start w:val="single" w:sz="4" w:color="6D35E8"/>
              <w:bottom w:val="single" w:sz="4" w:color="6D35E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6D35E8"/>
                <w:sz w:val="19"/>
              </w:rPr>
              <w:t>‫نقطة الاستئناف الدقيقة‬</w:t>
            </w:r>
          </w:p>
          <w:p>
            <w:pPr>
              <w:spacing w:after="0" w:line="259" w:lineRule="auto"/>
              <w:jc w:val="right"/>
              <w:bidi w:val="1"/>
            </w:pPr>
            <w:r>
              <w:rPr>
                <w:rFonts w:ascii="Noto Sans Arabic" w:hAnsi="Noto Sans Arabic" w:eastAsia="Noto Sans Arabic" w:cs="Noto Sans Arabic"/>
                <w:b w:val="0"/>
                <w:color w:val="1D2433"/>
                <w:sz w:val="18"/>
              </w:rPr>
              <w:t>‫ابدأ باعتماد نماذج Jotform القبلي والبعدي وحقل traineeId ومفتاح الإجابة. بعدها فقط تُنفذ migration 008، مهاجرة واحدة، ثم يُنتظر تأكيد النجاح قبل الانتقال إلى xAPI.‬</w:t>
            </w:r>
          </w:p>
        </w:tc>
        <w:tc>
          <w:tcPr>
            <w:tcW w:type="dxa" w:w="5188"/>
            <w:shd w:fill="6D35E8"/>
            <w:tcBorders>
              <w:top w:val="single" w:sz="4" w:color="6D35E8"/>
              <w:start w:val="nil"/>
              <w:bottom w:val="single" w:sz="4" w:color="6D35E8"/>
              <w:end w:val="single" w:sz="4" w:color="6D35E8"/>
            </w:tcBorders>
            <w:tcMar>
              <w:top w:w="0" w:type="dxa"/>
              <w:start w:w="0" w:type="dxa"/>
              <w:bottom w:w="0" w:type="dxa"/>
              <w:end w:w="0" w:type="dxa"/>
            </w:tcMar>
          </w:tcPr>
          <w:p/>
        </w:tc>
      </w:tr>
    </w:tbl>
    <w:p>
      <w:pPr>
        <w:spacing w:after="0"/>
      </w:pPr>
    </w:p>
    <w:p>
      <w:pPr>
        <w:spacing w:before="160" w:after="80"/>
        <w:jc w:val="right"/>
        <w:keepNext/>
        <w:bidi w:val="1"/>
      </w:pPr>
      <w:r>
        <w:rPr>
          <w:rFonts w:ascii="Noto Kufi Arabic" w:hAnsi="Noto Kufi Arabic" w:eastAsia="Noto Kufi Arabic" w:cs="Noto Kufi Arabic"/>
          <w:b/>
          <w:color w:val="0B1026"/>
          <w:sz w:val="30"/>
        </w:rPr>
        <w:t>‫9 · سجل الملفات والنطاق‬</w:t>
      </w:r>
    </w:p>
    <w:p>
      <w:pPr>
        <w:spacing w:before="0" w:after="140" w:line="276" w:lineRule="auto"/>
        <w:jc w:val="right"/>
        <w:bidi w:val="1"/>
        <w:keepNext/>
      </w:pPr>
      <w:r>
        <w:rPr>
          <w:rFonts w:ascii="Noto Sans Arabic" w:hAnsi="Noto Sans Arabic" w:eastAsia="Noto Sans Arabic" w:cs="Noto Sans Arabic"/>
          <w:b w:val="0"/>
          <w:color w:val="747F94"/>
          <w:sz w:val="18"/>
        </w:rPr>
        <w:t>‫ما اعتُبر مصدرًا، وما اعتُبر تنفيذًا، وما استُبعد‬</w:t>
      </w:r>
    </w:p>
    <w:tbl>
      <w:tblPr>
        <w:tblW w:type="auto" w:w="0"/>
        <w:jc w:val="center"/>
        <w:tblLayout w:type="fixed"/>
        <w:tblLook w:firstColumn="1" w:firstRow="1" w:lastColumn="0" w:lastRow="0" w:noHBand="0" w:noVBand="1" w:val="04A0"/>
      </w:tblPr>
      <w:tblGrid>
        <w:gridCol w:w="2324"/>
        <w:gridCol w:w="7937"/>
      </w:tblGrid>
      <w:tr>
        <w:trPr>
          <w:tblHeader w:val="true"/>
        </w:trPr>
        <w:tc>
          <w:tcPr>
            <w:tcW w:type="dxa" w:w="5188"/>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‫التصنيف‬</w:t>
            </w:r>
          </w:p>
        </w:tc>
        <w:tc>
          <w:tcPr>
            <w:tcW w:type="dxa" w:w="5188"/>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‫المحتوى‬</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‫متطلبات ومرجع‬</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‫قائمة المهام PDF/DOCX، الدليل PDF/DOCX، سيناريو التدريب، README ووثائق brief وarchitecture وroadmap وintegrations.‬</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‫قرارات وتصميم‬</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‫DESIGN.md وPROJECT_DECISIONS.md وWRITING_DIRECTION_GUIDE.md وbrand-spec.md.‬</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‫تطبيق حالي‬</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‫app وcomponents وlib وproxy وإعدادات Next.js وTypeScript وTailwind والحزم.‬</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‫قاعدة بيانات‬</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‫سبع مهاجرات SQL حالية 001 إلى 007.‬</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‫أصول‬</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‫شعارات الجذر وأصول public/brand وapp/icon.png.‬</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‫أرشيف‬</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‫al-miqyas-handoff.zip والنموذج al-miqyas-v2.jsx المكرر المطابق.‬</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‫نسخ قديمة داخل التطبيق‬</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‫globals 2.css وicons 2.tsx وtrainee-workspace.tsx وtrainee-workspace 2.tsx وأجزاء قديمة داخل dashboard-pages.tsx.‬</w:t>
            </w:r>
          </w:p>
        </w:tc>
      </w:tr>
      <w:tr>
        <w:tc>
          <w:tcPr>
            <w:tcW w:type="dxa" w:w="2324"/>
            <w:vAlign w:val="center"/>
            <w:tcMar>
              <w:top w:w="90" w:type="dxa"/>
              <w:start w:w="110" w:type="dxa"/>
              <w:bottom w:w="90" w:type="dxa"/>
              <w:end w:w="110" w:type="dxa"/>
            </w:tcMar>
            <w:shd w:fill="F2ECFF"/>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color w:val="6D35E8"/>
                <w:sz w:val="16"/>
              </w:rPr>
              <w:t>‫مستبعد من تقييم المنتج‬</w:t>
            </w:r>
          </w:p>
        </w:tc>
        <w:tc>
          <w:tcPr>
            <w:tcW w:type="dxa" w:w="7937"/>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‫node_modules و.next وملفات البناء وtsconfig.tsbuildinfo ومستودعا Frontend Design Deslop وWeb Design Engineer ومراجع de-slop العامة.‬</w:t>
            </w:r>
          </w:p>
        </w:tc>
      </w:tr>
    </w:tbl>
    <w:p>
      <w:pPr>
        <w:spacing w:before="100" w:after="60"/>
        <w:jc w:val="right"/>
        <w:keepNext/>
        <w:bidi w:val="1"/>
      </w:pPr>
      <w:r>
        <w:rPr>
          <w:rFonts w:ascii="Noto Kufi Arabic" w:hAnsi="Noto Kufi Arabic" w:eastAsia="Noto Kufi Arabic" w:cs="Noto Kufi Arabic"/>
          <w:b/>
          <w:color w:val="6D35E8"/>
          <w:sz w:val="21"/>
        </w:rPr>
        <w:t>‫ملاحظات جودة الملفات‬</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‫النموذج al-miqyas-v2.jsx في الجذر وداخل الحزمة متطابقان بالـSHA-1؛ هو مرجع بصري لا تنفيذ إنتاجي.‬</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‫المجلد الحالي ليس مستودع Git صالحًا للمشروع؛ أمر git status التقط نطاقًا أوسع من المشروع، لذلك لم يُستخدم كدليل حالة.‬</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‫حزمة التسليم القديمة مفيدة تاريخيًا، لكن Schema وسياسات RLS فيها لا تمثل الوضع الحالي.‬</w:t>
      </w:r>
    </w:p>
    <w:p>
      <w:pPr>
        <w:spacing w:after="50" w:line="259" w:lineRule="auto"/>
        <w:ind w:right="142" w:hanging="102"/>
        <w:jc w:val="right"/>
        <w:bidi w:val="1"/>
      </w:pPr>
      <w:r>
        <w:rPr>
          <w:rFonts w:ascii="Noto Sans Symbols 2" w:hAnsi="Noto Sans Symbols 2" w:eastAsia="Noto Sans Symbols 2" w:cs="Noto Sans Symbols 2"/>
          <w:b/>
          <w:color w:val="147EA1"/>
          <w:sz w:val="19"/>
        </w:rPr>
        <w:t xml:space="preserve">◆ </w:t>
      </w:r>
      <w:r>
        <w:rPr>
          <w:rFonts w:ascii="Noto Sans Arabic" w:hAnsi="Noto Sans Arabic" w:eastAsia="Noto Sans Arabic" w:cs="Noto Sans Arabic"/>
          <w:b w:val="0"/>
          <w:color w:val="1D2433"/>
          <w:sz w:val="19"/>
        </w:rPr>
        <w:t>‫ملفات التسليم الحالية تذكر بوضوح الصفحات الحقيقية والتجريبية، وهو توثيق صحيح يجب الحفاظ عليه.‬</w:t>
      </w:r>
    </w:p>
    <w:p>
      <w:pPr>
        <w:spacing w:before="160" w:after="80"/>
        <w:jc w:val="right"/>
        <w:keepNext/>
        <w:bidi w:val="1"/>
      </w:pPr>
      <w:r>
        <w:rPr>
          <w:rFonts w:ascii="Noto Kufi Arabic" w:hAnsi="Noto Kufi Arabic" w:eastAsia="Noto Kufi Arabic" w:cs="Noto Kufi Arabic"/>
          <w:b/>
          <w:color w:val="0B1026"/>
          <w:sz w:val="30"/>
        </w:rPr>
        <w:t>‫10 · قرار الإغلاق الحالي‬</w:t>
      </w:r>
    </w:p>
    <w:p>
      <w:pPr>
        <w:spacing w:before="0" w:after="140" w:line="276" w:lineRule="auto"/>
        <w:jc w:val="right"/>
        <w:bidi w:val="1"/>
        <w:keepNext/>
      </w:pPr>
      <w:r>
        <w:rPr>
          <w:rFonts w:ascii="Noto Sans Arabic" w:hAnsi="Noto Sans Arabic" w:eastAsia="Noto Sans Arabic" w:cs="Noto Sans Arabic"/>
          <w:b w:val="0"/>
          <w:color w:val="747F94"/>
          <w:sz w:val="18"/>
        </w:rPr>
        <w:t>‫هل المشروع مكتمل؟‬</w:t>
      </w:r>
    </w:p>
    <w:tbl>
      <w:tblPr>
        <w:tblW w:type="auto" w:w="0"/>
        <w:jc w:val="center"/>
        <w:tblLayout w:type="fixed"/>
        <w:tblLook w:firstColumn="1" w:firstRow="1" w:lastColumn="0" w:lastRow="0" w:noHBand="0" w:noVBand="1" w:val="04A0"/>
      </w:tblPr>
      <w:tblGrid>
        <w:gridCol w:w="9638"/>
        <w:gridCol w:w="312"/>
      </w:tblGrid>
      <w:tr>
        <w:tc>
          <w:tcPr>
            <w:tcW w:type="dxa" w:w="5188"/>
            <w:shd w:fill="FFF0EE"/>
            <w:tcBorders>
              <w:top w:val="single" w:sz="4" w:color="B42318"/>
              <w:start w:val="single" w:sz="4" w:color="B42318"/>
              <w:bottom w:val="single" w:sz="4" w:color="B4231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B42318"/>
                <w:sz w:val="19"/>
              </w:rPr>
              <w:t>‫القرار‬</w:t>
            </w:r>
          </w:p>
          <w:p>
            <w:pPr>
              <w:spacing w:after="0" w:line="259" w:lineRule="auto"/>
              <w:jc w:val="right"/>
              <w:bidi w:val="1"/>
            </w:pPr>
            <w:r>
              <w:rPr>
                <w:rFonts w:ascii="Noto Sans Arabic" w:hAnsi="Noto Sans Arabic" w:eastAsia="Noto Sans Arabic" w:cs="Noto Sans Arabic"/>
                <w:b w:val="0"/>
                <w:color w:val="1D2433"/>
                <w:sz w:val="18"/>
              </w:rPr>
              <w:t>‫لا. المشروع غير مكتمل وغير جاهز للإطلاق أو Pilot حقيقي. القاعدة وتدفقات CRUD الأساسية تقدمت بوضوح، لكن الرحلة التي تعطي المنتج قيمته لم تُنفذ بعد.‬</w:t>
            </w:r>
          </w:p>
        </w:tc>
        <w:tc>
          <w:tcPr>
            <w:tcW w:type="dxa" w:w="5188"/>
            <w:shd w:fill="B42318"/>
            <w:tcBorders>
              <w:top w:val="single" w:sz="4" w:color="B42318"/>
              <w:start w:val="nil"/>
              <w:bottom w:val="single" w:sz="4" w:color="B42318"/>
              <w:end w:val="single" w:sz="4" w:color="B42318"/>
            </w:tcBorders>
            <w:tcMar>
              <w:top w:w="0" w:type="dxa"/>
              <w:start w:w="0" w:type="dxa"/>
              <w:bottom w:w="0" w:type="dxa"/>
              <w:end w:w="0" w:type="dxa"/>
            </w:tcMar>
          </w:tcPr>
          <w:p/>
        </w:tc>
      </w:tr>
    </w:tbl>
    <w:p>
      <w:pPr>
        <w:spacing w:after="0"/>
      </w:pPr>
    </w:p>
    <w:p>
      <w:pPr>
        <w:spacing w:before="100" w:after="60"/>
        <w:jc w:val="right"/>
        <w:keepNext/>
        <w:bidi w:val="1"/>
      </w:pPr>
      <w:r>
        <w:rPr>
          <w:rFonts w:ascii="Noto Kufi Arabic" w:hAnsi="Noto Kufi Arabic" w:eastAsia="Noto Kufi Arabic" w:cs="Noto Kufi Arabic"/>
          <w:b/>
          <w:color w:val="6D35E8"/>
          <w:sz w:val="21"/>
        </w:rPr>
        <w:t>‫شروط الإغلاق النهائي‬</w:t>
      </w:r>
    </w:p>
    <w:tbl>
      <w:tblPr>
        <w:tblW w:type="auto" w:w="0"/>
        <w:jc w:val="center"/>
        <w:tblLayout w:type="fixed"/>
        <w:tblLook w:firstColumn="1" w:firstRow="1" w:lastColumn="0" w:lastRow="0" w:noHBand="0" w:noVBand="1" w:val="04A0"/>
      </w:tblPr>
      <w:tblGrid>
        <w:gridCol w:w="5188"/>
        <w:gridCol w:w="5188"/>
      </w:tblGrid>
      <w:tr>
        <w:trPr>
          <w:tblHeader w:val="true"/>
        </w:trPr>
        <w:tc>
          <w:tcPr>
            <w:tcW w:type="dxa" w:w="5188"/>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‫الشرط‬</w:t>
            </w:r>
          </w:p>
        </w:tc>
        <w:tc>
          <w:tcPr>
            <w:tcW w:type="dxa" w:w="5188"/>
            <w:vAlign w:val="center"/>
            <w:tcMar>
              <w:top w:w="90" w:type="dxa"/>
              <w:start w:w="110" w:type="dxa"/>
              <w:bottom w:w="90" w:type="dxa"/>
              <w:end w:w="110" w:type="dxa"/>
            </w:tcMar>
            <w:shd w:fill="0B1026"/>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FFFFFF"/>
                <w:sz w:val="17"/>
              </w:rPr>
              <w:t>‫الوضع الحالي‬</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‫جميع المهام 0 إلى 20 مكتملة أو لها استثناء معتمد‬</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متحقق‬</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‫مطابقة 98% أو أعلى في Pilot‬</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مختبر‬</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‫تقرير خلال أقل من دقيقة‬</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مختبر‬</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‫لا تسرب بين جهتين‬</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‫مصمم عبر RLS وغير مختبر‬</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‫Jotform وxAPI والتقرير والشهادة تعمل من طرف إلى طرف‬</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متحقق‬</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‫لا عيوب حرجة أو عالية‬</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‫لا توجد منظومة عيوب أو QA‬</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‫الملكية والحسابات والوثائق تحت الأمد‬</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مثبت بالكامل‬</w:t>
            </w:r>
          </w:p>
        </w:tc>
      </w:tr>
      <w:tr>
        <w:tc>
          <w:tcPr>
            <w:tcW w:type="dxa" w:w="5188"/>
            <w:vAlign w:val="center"/>
            <w:tcMar>
              <w:top w:w="90" w:type="dxa"/>
              <w:start w:w="110" w:type="dxa"/>
              <w:bottom w:w="90" w:type="dxa"/>
              <w:end w:w="110" w:type="dxa"/>
            </w:tcMar>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right"/>
              <w:bidi w:val="1"/>
            </w:pPr>
            <w:r/>
            <w:r>
              <w:rPr>
                <w:rFonts w:ascii="Noto Sans Arabic" w:hAnsi="Noto Sans Arabic" w:eastAsia="Noto Sans Arabic" w:cs="Noto Sans Arabic"/>
                <w:b w:val="0"/>
                <w:color w:val="1D2433"/>
                <w:sz w:val="16"/>
              </w:rPr>
              <w:t>‫مسؤول تشغيل ودعم وخطط استعادة‬</w:t>
            </w:r>
          </w:p>
        </w:tc>
        <w:tc>
          <w:tcPr>
            <w:tcW w:type="dxa" w:w="5188"/>
            <w:vAlign w:val="center"/>
            <w:tcMar>
              <w:top w:w="90" w:type="dxa"/>
              <w:start w:w="110" w:type="dxa"/>
              <w:bottom w:w="90" w:type="dxa"/>
              <w:end w:w="110" w:type="dxa"/>
            </w:tcMar>
            <w:shd w:fill="FFF0EE"/>
            <w:tcBorders>
              <w:top w:val="single" w:sz="5" w:color="D8DDE8"/>
              <w:start w:val="single" w:sz="5" w:color="D8DDE8"/>
              <w:bottom w:val="single" w:sz="5" w:color="D8DDE8"/>
              <w:end w:val="single" w:sz="5" w:color="D8DDE8"/>
              <w:insideH w:val="single" w:sz="5" w:color="D8DDE8"/>
              <w:insideV w:val="single" w:sz="5" w:color="D8DDE8"/>
            </w:tcBorders>
          </w:tcPr>
          <w:p>
            <w:pPr>
              <w:spacing w:after="0" w:before="0" w:line="252" w:lineRule="auto"/>
              <w:jc w:val="center"/>
              <w:bidi w:val="1"/>
            </w:pPr>
            <w:r/>
            <w:r>
              <w:rPr>
                <w:rFonts w:ascii="Noto Sans Arabic" w:hAnsi="Noto Sans Arabic" w:eastAsia="Noto Sans Arabic" w:cs="Noto Sans Arabic"/>
                <w:b/>
                <w:color w:val="B42318"/>
                <w:sz w:val="16"/>
              </w:rPr>
              <w:t>‫غير موثق‬</w:t>
            </w:r>
          </w:p>
        </w:tc>
      </w:tr>
    </w:tbl>
    <w:tbl>
      <w:tblPr>
        <w:tblW w:type="auto" w:w="0"/>
        <w:jc w:val="center"/>
        <w:tblLayout w:type="fixed"/>
        <w:tblLook w:firstColumn="1" w:firstRow="1" w:lastColumn="0" w:lastRow="0" w:noHBand="0" w:noVBand="1" w:val="04A0"/>
      </w:tblPr>
      <w:tblGrid>
        <w:gridCol w:w="9638"/>
        <w:gridCol w:w="312"/>
      </w:tblGrid>
      <w:tr>
        <w:tc>
          <w:tcPr>
            <w:tcW w:type="dxa" w:w="5188"/>
            <w:shd w:fill="F2ECFF"/>
            <w:tcBorders>
              <w:top w:val="single" w:sz="4" w:color="6D35E8"/>
              <w:start w:val="single" w:sz="4" w:color="6D35E8"/>
              <w:bottom w:val="single" w:sz="4" w:color="6D35E8"/>
              <w:end w:val="nil"/>
            </w:tcBorders>
            <w:tcMar>
              <w:top w:w="130" w:type="dxa"/>
              <w:start w:w="160" w:type="dxa"/>
              <w:bottom w:w="130" w:type="dxa"/>
              <w:end w:w="160" w:type="dxa"/>
            </w:tcMar>
          </w:tcPr>
          <w:p>
            <w:pPr>
              <w:spacing w:after="40"/>
              <w:jc w:val="right"/>
              <w:bidi w:val="1"/>
            </w:pPr>
            <w:r>
              <w:rPr>
                <w:rFonts w:ascii="Noto Kufi Arabic" w:hAnsi="Noto Kufi Arabic" w:eastAsia="Noto Kufi Arabic" w:cs="Noto Kufi Arabic"/>
                <w:b/>
                <w:color w:val="6D35E8"/>
                <w:sz w:val="19"/>
              </w:rPr>
              <w:t>‫الخطوة التالية الوحيدة الصحيحة‬</w:t>
            </w:r>
          </w:p>
          <w:p>
            <w:pPr>
              <w:spacing w:after="0" w:line="259" w:lineRule="auto"/>
              <w:jc w:val="right"/>
              <w:bidi w:val="1"/>
            </w:pPr>
            <w:r>
              <w:rPr>
                <w:rFonts w:ascii="Noto Sans Arabic" w:hAnsi="Noto Sans Arabic" w:eastAsia="Noto Sans Arabic" w:cs="Noto Sans Arabic"/>
                <w:b w:val="0"/>
                <w:color w:val="1D2433"/>
                <w:sz w:val="18"/>
              </w:rPr>
              <w:t>‫إغلاق نماذج Jotform ومفتاح الإجابة، ثم migration 008. فتح تقارير أو شهادات أو لوحة تحكم جديدة قبل ذلك سيزيد الديون ويكرر المحاكاة.‬</w:t>
            </w:r>
          </w:p>
        </w:tc>
        <w:tc>
          <w:tcPr>
            <w:tcW w:type="dxa" w:w="5188"/>
            <w:shd w:fill="6D35E8"/>
            <w:tcBorders>
              <w:top w:val="single" w:sz="4" w:color="6D35E8"/>
              <w:start w:val="nil"/>
              <w:bottom w:val="single" w:sz="4" w:color="6D35E8"/>
              <w:end w:val="single" w:sz="4" w:color="6D35E8"/>
            </w:tcBorders>
            <w:tcMar>
              <w:top w:w="0" w:type="dxa"/>
              <w:start w:w="0" w:type="dxa"/>
              <w:bottom w:w="0" w:type="dxa"/>
              <w:end w:w="0" w:type="dxa"/>
            </w:tcMar>
          </w:tcPr>
          <w:p/>
        </w:tc>
      </w:tr>
    </w:tbl>
    <w:p>
      <w:pPr>
        <w:spacing w:after="0"/>
      </w:pPr>
    </w:p>
    <w:p>
      <w:pPr>
        <w:spacing w:before="560" w:after="80" w:line="276" w:lineRule="auto"/>
        <w:jc w:val="center"/>
        <w:bidi w:val="1"/>
      </w:pPr>
      <w:r>
        <w:rPr>
          <w:rFonts w:ascii="Noto Sans Arabic" w:hAnsi="Noto Sans Arabic" w:eastAsia="Noto Sans Arabic" w:cs="Noto Sans Arabic"/>
          <w:b w:val="0"/>
          <w:color w:val="747F94"/>
          <w:sz w:val="18"/>
        </w:rPr>
        <w:t>‫نهاية التقرير · لقطة 24 يوليو 2026‬</w:t>
      </w:r>
    </w:p>
    <w:sectPr w:rsidR="00FC693F" w:rsidRPr="0006063C" w:rsidSect="00034616">
      <w:headerReference w:type="default" r:id="rId9"/>
      <w:footerReference w:type="default" r:id="rId10"/>
      <w:pgSz w:w="11906" w:h="16838"/>
      <w:pgMar w:top="822" w:right="765" w:bottom="765" w:left="765" w:header="283" w:footer="31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left"/>
      <w:bidi w:val="1"/>
    </w:pPr>
    <w:r>
      <w:rPr>
        <w:rFonts w:ascii="Noto Sans Arabic" w:hAnsi="Noto Sans Arabic" w:eastAsia="Noto Sans Arabic" w:cs="Noto Sans Arabic"/>
        <w:b w:val="0"/>
        <w:color w:val="747F94"/>
        <w:sz w:val="16"/>
      </w:rPr>
      <w:t>‫شركة الأمد التقنية | منظومة المقياس | ‬</w:t>
    </w:r>
    <w:r>
      <w:rPr>
        <w:rFonts w:ascii="Noto Sans Arabic" w:hAnsi="Noto Sans Arabic" w:eastAsia="Noto Sans Arabic" w:cs="Noto Sans Arabic"/>
        <w:b w:val="0"/>
        <w:color w:val="747F94"/>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ayout w:type="fixed"/>
      <w:tblLook w:firstColumn="1" w:firstRow="1" w:lastColumn="0" w:lastRow="0" w:noHBand="0" w:noVBand="1" w:val="04A0"/>
    </w:tblPr>
    <w:tblGrid>
      <w:gridCol w:w="8391"/>
      <w:gridCol w:w="1984"/>
    </w:tblGrid>
    <w:tr>
      <w:tc>
        <w:tcPr>
          <w:tcW w:type="dxa" w:w="5187"/>
          <w:vAlign w:val="center"/>
          <w:tcMar>
            <w:top w:w="90" w:type="dxa"/>
            <w:start w:w="110" w:type="dxa"/>
            <w:bottom w:w="90" w:type="dxa"/>
            <w:end w:w="110" w:type="dxa"/>
          </w:tcMar>
          <w:tcBorders>
            <w:bottom w:val="single" w:sz="8" w:color="6D35E8"/>
          </w:tcBorders>
        </w:tcPr>
        <w:p>
          <w:pPr>
            <w:spacing w:after="0" w:before="0" w:line="252" w:lineRule="auto"/>
            <w:jc w:val="right"/>
            <w:bidi w:val="1"/>
          </w:pPr>
          <w:r/>
          <w:r>
            <w:rPr>
              <w:rFonts w:ascii="Noto Sans Arabic" w:hAnsi="Noto Sans Arabic" w:eastAsia="Noto Sans Arabic" w:cs="Noto Sans Arabic"/>
              <w:b/>
              <w:color w:val="0B1026"/>
              <w:sz w:val="16"/>
            </w:rPr>
            <w:t>‫منظومة المقياس · تقرير حالة التنفيذ المحدث‬</w:t>
          </w:r>
        </w:p>
      </w:tc>
      <w:tc>
        <w:tcPr>
          <w:tcW w:type="dxa" w:w="5187"/>
          <w:vAlign w:val="center"/>
          <w:tcMar>
            <w:top w:w="90" w:type="dxa"/>
            <w:start w:w="110" w:type="dxa"/>
            <w:bottom w:w="90" w:type="dxa"/>
            <w:end w:w="110" w:type="dxa"/>
          </w:tcMar>
          <w:tcBorders>
            <w:bottom w:val="single" w:sz="8" w:color="6D35E8"/>
          </w:tcBorders>
        </w:tcPr>
        <w:p>
          <w:pPr>
            <w:spacing w:after="0" w:before="0" w:line="252" w:lineRule="auto"/>
            <w:jc w:val="left"/>
            <w:bidi w:val="1"/>
          </w:pPr>
          <w:r/>
          <w:r>
            <w:rPr>
              <w:rFonts w:ascii="Noto Sans Arabic" w:hAnsi="Noto Sans Arabic" w:eastAsia="Noto Sans Arabic" w:cs="Noto Sans Arabic"/>
              <w:b w:val="0"/>
              <w:color w:val="747F94"/>
              <w:sz w:val="16"/>
            </w:rPr>
            <w:t>‫24 يوليو 2026‬</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Arabic" w:hAnsi="Noto Sans Arabic" w:eastAsia="Noto Sans Arabic" w:cs="Noto Sans Arabic"/>
      <w:color w:val="1D24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