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2F53" w:rsidRPr="00832F53" w:rsidRDefault="00832F53" w:rsidP="00832F53">
      <w:pPr>
        <w:shd w:val="clear" w:color="auto" w:fill="FFFFFF"/>
        <w:spacing w:before="480" w:after="240" w:line="510" w:lineRule="atLeast"/>
        <w:outlineLvl w:val="0"/>
        <w:rPr>
          <w:rFonts w:ascii="Arial" w:eastAsia="Times New Roman" w:hAnsi="Arial" w:cs="Arial"/>
          <w:b/>
          <w:bCs/>
          <w:color w:val="0F1115"/>
          <w:kern w:val="36"/>
          <w:sz w:val="36"/>
          <w:szCs w:val="36"/>
        </w:rPr>
      </w:pPr>
      <w:r w:rsidRPr="00832F53">
        <w:rPr>
          <w:rFonts w:ascii="Arial" w:eastAsia="Times New Roman" w:hAnsi="Arial" w:cs="Arial"/>
          <w:b/>
          <w:bCs/>
          <w:color w:val="0F1115"/>
          <w:kern w:val="36"/>
          <w:sz w:val="36"/>
          <w:szCs w:val="36"/>
        </w:rPr>
        <w:t>Cyber Security Services</w:t>
      </w:r>
    </w:p>
    <w:p w:rsidR="00832F53" w:rsidRPr="00832F53" w:rsidRDefault="00832F53" w:rsidP="00832F53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</w:rPr>
      </w:pPr>
      <w:r w:rsidRPr="00832F53">
        <w:rPr>
          <w:rFonts w:ascii="Arial" w:eastAsia="Times New Roman" w:hAnsi="Arial" w:cs="Arial"/>
          <w:b/>
          <w:bCs/>
          <w:color w:val="0F1115"/>
          <w:sz w:val="33"/>
          <w:szCs w:val="33"/>
        </w:rPr>
        <w:t>End-to-End Protection Built for the Kingdom’s Digital Future</w:t>
      </w:r>
    </w:p>
    <w:p w:rsidR="00832F53" w:rsidRPr="00832F53" w:rsidRDefault="00832F53" w:rsidP="00832F53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Flowtech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> delivers enterprise-grade cybersecurity solutions tailored to Saudi Arabia’s evolving threat landscape. We move beyond technology deployment to deliver </w:t>
      </w: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measurable security outcomes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>—reducing risk exposure, ensuring regulatory compliance, and maintaining 24/7 operational resilience.</w:t>
      </w:r>
    </w:p>
    <w:p w:rsidR="00832F53" w:rsidRPr="00832F53" w:rsidRDefault="00832F53" w:rsidP="00832F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i/>
          <w:iCs/>
          <w:color w:val="0F1115"/>
          <w:sz w:val="24"/>
          <w:szCs w:val="24"/>
        </w:rPr>
        <w:t>“Our certified professionals integrate seamlessly with your team, converting complex mandates (SAMA, NCA, PDPL) into practical, enforceable technical safeguards.”</w:t>
      </w:r>
    </w:p>
    <w:p w:rsidR="00832F53" w:rsidRPr="00832F53" w:rsidRDefault="00832F53" w:rsidP="00832F53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</w:rPr>
      </w:pPr>
      <w:r w:rsidRPr="00832F53">
        <w:rPr>
          <w:rFonts w:ascii="Arial" w:eastAsia="Times New Roman" w:hAnsi="Arial" w:cs="Arial"/>
          <w:b/>
          <w:bCs/>
          <w:color w:val="0F1115"/>
          <w:sz w:val="33"/>
          <w:szCs w:val="33"/>
        </w:rPr>
        <w:t>Section 1: Our Execution Framework</w:t>
      </w:r>
    </w:p>
    <w:p w:rsidR="00832F53" w:rsidRPr="00832F53" w:rsidRDefault="00832F53" w:rsidP="00832F53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832F53">
        <w:rPr>
          <w:rFonts w:ascii="Arial" w:eastAsia="Times New Roman" w:hAnsi="Arial" w:cs="Arial"/>
          <w:b/>
          <w:bCs/>
          <w:color w:val="0F1115"/>
          <w:sz w:val="30"/>
          <w:szCs w:val="30"/>
        </w:rPr>
        <w:t>A Three-Phase Security Lifecycle</w:t>
      </w:r>
    </w:p>
    <w:p w:rsidR="00832F53" w:rsidRPr="00832F53" w:rsidRDefault="00832F53" w:rsidP="00832F53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</w:rPr>
      </w:pPr>
      <w:r w:rsidRPr="00832F53">
        <w:rPr>
          <w:rFonts w:ascii="Arial" w:eastAsia="Times New Roman" w:hAnsi="Arial" w:cs="Arial"/>
          <w:color w:val="0F1115"/>
          <w:sz w:val="24"/>
          <w:szCs w:val="24"/>
        </w:rPr>
        <w:t>We follow a systematic, iterative approach designed for continuous security enhancement.</w:t>
      </w:r>
    </w:p>
    <w:p w:rsidR="00832F53" w:rsidRPr="00832F53" w:rsidRDefault="00832F53" w:rsidP="00832F5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Phase 1: Evaluate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> – Comprehensive risk profiling and regulatory gap analysis against NCA and SAMA benchmarks.</w:t>
      </w:r>
    </w:p>
    <w:p w:rsidR="00832F53" w:rsidRPr="00832F53" w:rsidRDefault="00832F53" w:rsidP="00832F5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Phase 2: Deploy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> – Zero Trust architecture integration, solution hardening, and seamless system implementation.</w:t>
      </w:r>
    </w:p>
    <w:p w:rsidR="00832F53" w:rsidRPr="00832F53" w:rsidRDefault="00832F53" w:rsidP="00832F5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Phase 3: Operate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> – 24/7 SOC surveillance, proactive threat hunting, and ongoing performance tuning.</w:t>
      </w:r>
    </w:p>
    <w:p w:rsidR="00832F53" w:rsidRPr="00832F53" w:rsidRDefault="00832F53" w:rsidP="00832F53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</w:rPr>
      </w:pPr>
      <w:r w:rsidRPr="00832F53">
        <w:rPr>
          <w:rFonts w:ascii="Arial" w:eastAsia="Times New Roman" w:hAnsi="Arial" w:cs="Arial"/>
          <w:color w:val="0F1115"/>
          <w:sz w:val="24"/>
          <w:szCs w:val="24"/>
        </w:rPr>
        <w:t>Each phase feeds into the next, creating a perpetual cycle of security improvement.</w:t>
      </w:r>
    </w:p>
    <w:p w:rsidR="00832F53" w:rsidRPr="003B414A" w:rsidRDefault="00832F53" w:rsidP="00832F53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</w:p>
    <w:p w:rsidR="003B414A" w:rsidRPr="003B414A" w:rsidRDefault="003B414A" w:rsidP="00832F53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</w:p>
    <w:p w:rsidR="003B414A" w:rsidRPr="00832F53" w:rsidRDefault="003B414A" w:rsidP="00832F53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</w:p>
    <w:p w:rsidR="00832F53" w:rsidRPr="00832F53" w:rsidRDefault="00832F53" w:rsidP="00832F53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</w:rPr>
      </w:pPr>
      <w:r w:rsidRPr="00832F53">
        <w:rPr>
          <w:rFonts w:ascii="Arial" w:eastAsia="Times New Roman" w:hAnsi="Arial" w:cs="Arial"/>
          <w:b/>
          <w:bCs/>
          <w:color w:val="0F1115"/>
          <w:sz w:val="33"/>
          <w:szCs w:val="33"/>
        </w:rPr>
        <w:lastRenderedPageBreak/>
        <w:t>Section 2: Core Service Lines</w:t>
      </w:r>
    </w:p>
    <w:p w:rsidR="00832F53" w:rsidRPr="00832F53" w:rsidRDefault="00832F53" w:rsidP="00832F53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i/>
          <w:iCs/>
          <w:color w:val="0F1115"/>
          <w:sz w:val="24"/>
          <w:szCs w:val="24"/>
        </w:rPr>
        <w:t>Foundational security pillars covering the entire enterprise ecosystem.</w:t>
      </w:r>
    </w:p>
    <w:p w:rsidR="00832F53" w:rsidRPr="00832F53" w:rsidRDefault="00832F53" w:rsidP="00832F53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832F53">
        <w:rPr>
          <w:rFonts w:ascii="Arial" w:eastAsia="Times New Roman" w:hAnsi="Arial" w:cs="Arial"/>
          <w:b/>
          <w:bCs/>
          <w:color w:val="0F1115"/>
          <w:sz w:val="30"/>
          <w:szCs w:val="30"/>
        </w:rPr>
        <w:t>1. Governance, Risk &amp; Compliance (GRC)</w:t>
      </w:r>
    </w:p>
    <w:p w:rsidR="00832F53" w:rsidRPr="00832F53" w:rsidRDefault="00832F53" w:rsidP="00832F53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i/>
          <w:iCs/>
          <w:color w:val="0F1115"/>
          <w:sz w:val="24"/>
          <w:szCs w:val="24"/>
        </w:rPr>
        <w:t>Regulatory navigation simplified.</w:t>
      </w:r>
    </w:p>
    <w:p w:rsidR="00832F53" w:rsidRPr="00832F53" w:rsidRDefault="00832F53" w:rsidP="00832F53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</w:rPr>
      </w:pPr>
      <w:r w:rsidRPr="00832F53">
        <w:rPr>
          <w:rFonts w:ascii="Arial" w:eastAsia="Times New Roman" w:hAnsi="Arial" w:cs="Arial"/>
          <w:color w:val="0F1115"/>
          <w:sz w:val="24"/>
          <w:szCs w:val="24"/>
        </w:rPr>
        <w:t>We demystify Saudi Arabia’s overlapping regulatory frameworks, helping you automate and streamline compliance efforts across multiple mandates.</w:t>
      </w:r>
    </w:p>
    <w:p w:rsidR="00832F53" w:rsidRPr="00832F53" w:rsidRDefault="00832F53" w:rsidP="00832F5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Regulatory Coverage: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> SAMA CSF, NCA-ECC (2:2024), NCA-CCC (2:2024), PDPL </w:t>
      </w:r>
    </w:p>
    <w:p w:rsidR="00832F53" w:rsidRPr="00832F53" w:rsidRDefault="00832F53" w:rsidP="00832F5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International Benchmarks: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> ISO 27001, ISO 27701 (Privacy), ISO 42001 (AI Management Systems)</w:t>
      </w:r>
    </w:p>
    <w:p w:rsidR="00832F53" w:rsidRPr="00832F53" w:rsidRDefault="00832F53" w:rsidP="00832F5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Specialized Services: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> VAPT (Vulnerability Assessment &amp; Penetration Testing), Third-Party Risk Management aligned with Aramco SACS-002</w:t>
      </w:r>
    </w:p>
    <w:p w:rsidR="00832F53" w:rsidRPr="00832F53" w:rsidRDefault="00832F53" w:rsidP="00832F5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Technology Integration: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> OneTrust for automated control monitoring and audit-ready dashboards</w:t>
      </w:r>
    </w:p>
    <w:p w:rsidR="00832F53" w:rsidRPr="00832F53" w:rsidRDefault="00832F53" w:rsidP="00832F53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832F53">
        <w:rPr>
          <w:rFonts w:ascii="Arial" w:eastAsia="Times New Roman" w:hAnsi="Arial" w:cs="Arial"/>
          <w:b/>
          <w:bCs/>
          <w:color w:val="0F1115"/>
          <w:sz w:val="30"/>
          <w:szCs w:val="30"/>
        </w:rPr>
        <w:t>2. Network Security</w:t>
      </w:r>
    </w:p>
    <w:p w:rsidR="00832F53" w:rsidRPr="00832F53" w:rsidRDefault="00832F53" w:rsidP="00832F53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i/>
          <w:iCs/>
          <w:color w:val="0F1115"/>
          <w:sz w:val="24"/>
          <w:szCs w:val="24"/>
        </w:rPr>
        <w:t>Defending the perimeter, the cloud, and every connection between them.</w:t>
      </w:r>
    </w:p>
    <w:p w:rsidR="00832F53" w:rsidRPr="00832F53" w:rsidRDefault="00832F53" w:rsidP="00832F53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</w:rPr>
      </w:pPr>
      <w:r w:rsidRPr="00832F53">
        <w:rPr>
          <w:rFonts w:ascii="Arial" w:eastAsia="Times New Roman" w:hAnsi="Arial" w:cs="Arial"/>
          <w:color w:val="0F1115"/>
          <w:sz w:val="24"/>
          <w:szCs w:val="24"/>
        </w:rPr>
        <w:t>With Saudi enterprises rapidly migrating to hybrid environments, we secure the edge and everything beyond.</w:t>
      </w:r>
    </w:p>
    <w:p w:rsidR="00832F53" w:rsidRPr="00832F53" w:rsidRDefault="00832F53" w:rsidP="00832F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NGFW Solutions: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> Next-Generation Firewall deployment and rule-set optimization across Palo Alto, Fortinet, and Cisco platforms</w:t>
      </w:r>
    </w:p>
    <w:p w:rsidR="00832F53" w:rsidRPr="00832F53" w:rsidRDefault="00832F53" w:rsidP="00832F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SASE Architecture: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> Secure Access Service Edge implementation for low-latency, secure remote operations</w:t>
      </w:r>
    </w:p>
    <w:p w:rsidR="00832F53" w:rsidRPr="00832F53" w:rsidRDefault="00832F53" w:rsidP="00832F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Email Protection: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> Advanced threat filtering to neutralize phishing, BEC, and malware campaigns</w:t>
      </w:r>
    </w:p>
    <w:p w:rsidR="00832F53" w:rsidRPr="00832F53" w:rsidRDefault="00832F53" w:rsidP="00832F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Supporting Technologies: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> NIPS, Secure Web Gateway, and Vulnerability Management Software</w:t>
      </w:r>
    </w:p>
    <w:p w:rsidR="00832F53" w:rsidRPr="00832F53" w:rsidRDefault="00832F53" w:rsidP="00832F53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832F53">
        <w:rPr>
          <w:rFonts w:ascii="Arial" w:eastAsia="Times New Roman" w:hAnsi="Arial" w:cs="Arial"/>
          <w:b/>
          <w:bCs/>
          <w:color w:val="0F1115"/>
          <w:sz w:val="30"/>
          <w:szCs w:val="30"/>
        </w:rPr>
        <w:t>3. Data Security</w:t>
      </w:r>
    </w:p>
    <w:p w:rsidR="00832F53" w:rsidRPr="00832F53" w:rsidRDefault="00832F53" w:rsidP="00832F53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i/>
          <w:iCs/>
          <w:color w:val="0F1115"/>
          <w:sz w:val="24"/>
          <w:szCs w:val="24"/>
        </w:rPr>
        <w:t>Discover, protect, and govern your most critical digital assets.</w:t>
      </w:r>
    </w:p>
    <w:p w:rsidR="00832F53" w:rsidRPr="00832F53" w:rsidRDefault="00832F53" w:rsidP="00832F53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</w:rPr>
      </w:pPr>
      <w:r w:rsidRPr="00832F53">
        <w:rPr>
          <w:rFonts w:ascii="Arial" w:eastAsia="Times New Roman" w:hAnsi="Arial" w:cs="Arial"/>
          <w:color w:val="0F1115"/>
          <w:sz w:val="24"/>
          <w:szCs w:val="24"/>
        </w:rPr>
        <w:t>With PDPL enforcement now active and fines reaching SAR 5 million per violation, data sovereignty is non-</w:t>
      </w:r>
      <w:proofErr w:type="gramStart"/>
      <w:r w:rsidRPr="00832F53">
        <w:rPr>
          <w:rFonts w:ascii="Arial" w:eastAsia="Times New Roman" w:hAnsi="Arial" w:cs="Arial"/>
          <w:color w:val="0F1115"/>
          <w:sz w:val="24"/>
          <w:szCs w:val="24"/>
        </w:rPr>
        <w:t>negotiable .</w:t>
      </w:r>
      <w:proofErr w:type="gramEnd"/>
    </w:p>
    <w:p w:rsidR="00832F53" w:rsidRPr="00832F53" w:rsidRDefault="00832F53" w:rsidP="00832F5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lastRenderedPageBreak/>
        <w:t>EDR &amp; Threat Hunting: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> Endpoint Detection and Response with 24/7 proactive hunting</w:t>
      </w:r>
    </w:p>
    <w:p w:rsidR="00832F53" w:rsidRPr="00832F53" w:rsidRDefault="00832F53" w:rsidP="00832F5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DLP &amp; DRM: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> Data Loss Prevention and Enterprise Digital Rights Management for persistent document control</w:t>
      </w:r>
    </w:p>
    <w:p w:rsidR="00832F53" w:rsidRPr="00832F53" w:rsidRDefault="00832F53" w:rsidP="00832F5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Integrity Monitoring: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> File Integrity Management (FIM) ensuring NCA-ECC compliance</w:t>
      </w:r>
    </w:p>
    <w:p w:rsidR="00832F53" w:rsidRPr="00832F53" w:rsidRDefault="00832F53" w:rsidP="00832F5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Encryption Infrastructure: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> HSM (Hardware Security Module) and centralized Key Management for data-at-rest protection</w:t>
      </w:r>
    </w:p>
    <w:p w:rsidR="00832F53" w:rsidRPr="00832F53" w:rsidRDefault="00832F53" w:rsidP="00832F53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832F53">
        <w:rPr>
          <w:rFonts w:ascii="Arial" w:eastAsia="Times New Roman" w:hAnsi="Arial" w:cs="Arial"/>
          <w:b/>
          <w:bCs/>
          <w:color w:val="0F1115"/>
          <w:sz w:val="30"/>
          <w:szCs w:val="30"/>
        </w:rPr>
        <w:t>4. Identity &amp; Access Management (IAM)</w:t>
      </w:r>
    </w:p>
    <w:p w:rsidR="00832F53" w:rsidRPr="00832F53" w:rsidRDefault="00832F53" w:rsidP="00832F53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i/>
          <w:iCs/>
          <w:color w:val="0F1115"/>
          <w:sz w:val="24"/>
          <w:szCs w:val="24"/>
        </w:rPr>
        <w:t>Zero Trust starts and ends with identity.</w:t>
      </w:r>
    </w:p>
    <w:p w:rsidR="00832F53" w:rsidRPr="00832F53" w:rsidRDefault="00832F53" w:rsidP="00832F53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</w:rPr>
      </w:pPr>
      <w:r w:rsidRPr="00832F53">
        <w:rPr>
          <w:rFonts w:ascii="Arial" w:eastAsia="Times New Roman" w:hAnsi="Arial" w:cs="Arial"/>
          <w:color w:val="0F1115"/>
          <w:sz w:val="24"/>
          <w:szCs w:val="24"/>
        </w:rPr>
        <w:t xml:space="preserve">In 2026, the perimeter is no longer physical—it is identity. We implement identity-first security models to eliminate implicit </w:t>
      </w:r>
      <w:proofErr w:type="gramStart"/>
      <w:r w:rsidRPr="00832F53">
        <w:rPr>
          <w:rFonts w:ascii="Arial" w:eastAsia="Times New Roman" w:hAnsi="Arial" w:cs="Arial"/>
          <w:color w:val="0F1115"/>
          <w:sz w:val="24"/>
          <w:szCs w:val="24"/>
        </w:rPr>
        <w:t>trust .</w:t>
      </w:r>
      <w:proofErr w:type="gramEnd"/>
    </w:p>
    <w:p w:rsidR="00832F53" w:rsidRPr="00832F53" w:rsidRDefault="00832F53" w:rsidP="00832F5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MFA/SSO: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> Phishing-resistant Multi-Factor Authentication and seamless Single Sign-On</w:t>
      </w:r>
    </w:p>
    <w:p w:rsidR="00832F53" w:rsidRPr="00832F53" w:rsidRDefault="00832F53" w:rsidP="00832F5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PAM: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> Privileged Access Management for critical systems and service accounts</w:t>
      </w:r>
    </w:p>
    <w:p w:rsidR="00832F53" w:rsidRPr="00832F53" w:rsidRDefault="00832F53" w:rsidP="00832F5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Zero Trust Architecture: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> ZTNA implementation to block lateral movement and contain breaches </w:t>
      </w:r>
    </w:p>
    <w:p w:rsidR="00832F53" w:rsidRPr="00832F53" w:rsidRDefault="00832F53" w:rsidP="00832F5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IGA: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> Identity Governance and Administration for complete audit readiness</w:t>
      </w:r>
    </w:p>
    <w:p w:rsidR="00832F53" w:rsidRPr="003B414A" w:rsidRDefault="00832F53" w:rsidP="00832F53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Arial" w:hAnsi="Arial" w:cs="Arial"/>
          <w:color w:val="0F1115"/>
          <w:sz w:val="36"/>
          <w:szCs w:val="36"/>
        </w:rPr>
      </w:pPr>
      <w:r w:rsidRPr="00832F53">
        <w:rPr>
          <w:rFonts w:ascii="Arial" w:hAnsi="Arial" w:cs="Arial"/>
          <w:color w:val="0F1115"/>
          <w:sz w:val="30"/>
          <w:szCs w:val="30"/>
        </w:rPr>
        <w:t xml:space="preserve">5. </w:t>
      </w:r>
      <w:r w:rsidRPr="003B414A">
        <w:rPr>
          <w:rFonts w:ascii="Arial" w:hAnsi="Arial" w:cs="Arial"/>
          <w:color w:val="0F1115"/>
          <w:sz w:val="36"/>
          <w:szCs w:val="36"/>
        </w:rPr>
        <w:t>Governance, Risk &amp; Compliance (GRC)</w:t>
      </w:r>
    </w:p>
    <w:p w:rsidR="00832F53" w:rsidRPr="003B414A" w:rsidRDefault="00832F53" w:rsidP="00832F53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Arial" w:hAnsi="Arial" w:cs="Arial"/>
          <w:color w:val="0F1115"/>
          <w:sz w:val="33"/>
          <w:szCs w:val="33"/>
        </w:rPr>
      </w:pPr>
      <w:r w:rsidRPr="003B414A">
        <w:rPr>
          <w:rFonts w:ascii="Arial" w:hAnsi="Arial" w:cs="Arial"/>
          <w:color w:val="0F1115"/>
          <w:sz w:val="33"/>
          <w:szCs w:val="33"/>
        </w:rPr>
        <w:t>Navigating Saudi Arabia’s Regulatory Landscape with Confidence</w:t>
      </w:r>
    </w:p>
    <w:p w:rsidR="00832F53" w:rsidRPr="003B414A" w:rsidRDefault="00832F53" w:rsidP="00832F5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 w:rsidRPr="003B414A">
        <w:rPr>
          <w:rStyle w:val="Strong"/>
          <w:rFonts w:ascii="Arial" w:hAnsi="Arial" w:cs="Arial"/>
          <w:color w:val="0F1115"/>
        </w:rPr>
        <w:t>Flowtech</w:t>
      </w:r>
      <w:r w:rsidRPr="003B414A">
        <w:rPr>
          <w:rFonts w:ascii="Arial" w:hAnsi="Arial" w:cs="Arial"/>
          <w:color w:val="0F1115"/>
        </w:rPr>
        <w:t> empowers Saudi enterprises to transform regulatory complexity into strategic advantage. We provide end-to-end GRC services that go beyond checkbox compliance—delivering measurable risk reduction, audit-ready documentation, and operational resilience across overlapping mandates.</w:t>
      </w:r>
    </w:p>
    <w:p w:rsidR="00832F53" w:rsidRPr="003B414A" w:rsidRDefault="00832F53" w:rsidP="00832F53">
      <w:pPr>
        <w:pStyle w:val="ds-markdown-paragraph"/>
        <w:shd w:val="clear" w:color="auto" w:fill="FFFFFF"/>
        <w:rPr>
          <w:rFonts w:ascii="Arial" w:hAnsi="Arial" w:cs="Arial"/>
          <w:color w:val="0F1115"/>
        </w:rPr>
      </w:pPr>
      <w:r w:rsidRPr="003B414A">
        <w:rPr>
          <w:rStyle w:val="Emphasis"/>
          <w:rFonts w:ascii="Arial" w:hAnsi="Arial" w:cs="Arial"/>
          <w:color w:val="0F1115"/>
        </w:rPr>
        <w:t>“With the KSA cybersecurity market projected to reach $7.81 billion by 2031, regulatory compliance is no longer optional—it is a competitive differentiator.”</w:t>
      </w:r>
      <w:r w:rsidRPr="003B414A">
        <w:rPr>
          <w:rFonts w:ascii="Arial" w:hAnsi="Arial" w:cs="Arial"/>
          <w:color w:val="0F1115"/>
        </w:rPr>
        <w:t> </w:t>
      </w:r>
    </w:p>
    <w:p w:rsidR="00832F53" w:rsidRPr="003B414A" w:rsidRDefault="00832F53" w:rsidP="00832F53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Arial" w:hAnsi="Arial" w:cs="Arial"/>
          <w:color w:val="0F1115"/>
          <w:sz w:val="33"/>
          <w:szCs w:val="33"/>
        </w:rPr>
      </w:pPr>
      <w:r w:rsidRPr="003B414A">
        <w:rPr>
          <w:rFonts w:ascii="Arial" w:hAnsi="Arial" w:cs="Arial"/>
          <w:color w:val="0F1115"/>
          <w:sz w:val="33"/>
          <w:szCs w:val="33"/>
        </w:rPr>
        <w:t xml:space="preserve">5.1 </w:t>
      </w:r>
      <w:r w:rsidRPr="003B414A">
        <w:rPr>
          <w:rFonts w:ascii="Arial" w:hAnsi="Arial" w:cs="Arial"/>
          <w:color w:val="0F1115"/>
          <w:sz w:val="33"/>
          <w:szCs w:val="33"/>
        </w:rPr>
        <w:t>The Regulatory Imperative</w:t>
      </w:r>
    </w:p>
    <w:p w:rsidR="00832F53" w:rsidRPr="003B414A" w:rsidRDefault="00832F53" w:rsidP="00832F53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Arial" w:hAnsi="Arial" w:cs="Arial"/>
          <w:color w:val="0F1115"/>
          <w:sz w:val="30"/>
          <w:szCs w:val="30"/>
        </w:rPr>
      </w:pPr>
      <w:r w:rsidRPr="003B414A">
        <w:rPr>
          <w:rFonts w:ascii="Arial" w:hAnsi="Arial" w:cs="Arial"/>
          <w:color w:val="0F1115"/>
          <w:sz w:val="30"/>
          <w:szCs w:val="30"/>
        </w:rPr>
        <w:t>Why GRC Matters in Saudi Arabia Today</w:t>
      </w:r>
    </w:p>
    <w:p w:rsidR="00832F53" w:rsidRPr="003B414A" w:rsidRDefault="00832F53" w:rsidP="00832F5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 xml:space="preserve">Saudi Arabia’s regulatory environment has evolved rapidly under Vision 2030. Organizations face overlapping requirements from multiple authorities, each with distinct </w:t>
      </w:r>
      <w:r w:rsidRPr="003B414A">
        <w:rPr>
          <w:rFonts w:ascii="Arial" w:hAnsi="Arial" w:cs="Arial"/>
          <w:color w:val="0F1115"/>
        </w:rPr>
        <w:lastRenderedPageBreak/>
        <w:t xml:space="preserve">mandates and enforcement mechanisms. Non-compliance carries serious consequences: SAMA has penalized 30 financial institutions simultaneously for compliance violations, and PDPL violations can reach SAR 5 </w:t>
      </w:r>
      <w:proofErr w:type="gramStart"/>
      <w:r w:rsidRPr="003B414A">
        <w:rPr>
          <w:rFonts w:ascii="Arial" w:hAnsi="Arial" w:cs="Arial"/>
          <w:color w:val="0F1115"/>
        </w:rPr>
        <w:t>million .</w:t>
      </w:r>
      <w:proofErr w:type="gramEnd"/>
      <w:r w:rsidRPr="003B414A">
        <w:rPr>
          <w:rFonts w:ascii="Arial" w:hAnsi="Arial" w:cs="Arial"/>
          <w:color w:val="0F1115"/>
        </w:rPr>
        <w:t> </w:t>
      </w:r>
    </w:p>
    <w:p w:rsidR="00832F53" w:rsidRPr="003B414A" w:rsidRDefault="00832F53" w:rsidP="00832F5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 w:rsidRPr="003B414A">
        <w:rPr>
          <w:rStyle w:val="Strong"/>
          <w:rFonts w:ascii="Arial" w:hAnsi="Arial" w:cs="Arial"/>
          <w:color w:val="0F1115"/>
        </w:rPr>
        <w:t>Key drivers pushing GRC to the boardroom agenda:</w:t>
      </w:r>
      <w:r w:rsidRPr="003B414A">
        <w:rPr>
          <w:rFonts w:ascii="Arial" w:hAnsi="Arial" w:cs="Arial"/>
          <w:color w:val="0F1115"/>
        </w:rPr>
        <w:t> </w:t>
      </w:r>
    </w:p>
    <w:p w:rsidR="00832F53" w:rsidRPr="003B414A" w:rsidRDefault="00832F53" w:rsidP="00832F5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540"/>
        <w:rPr>
          <w:rFonts w:ascii="Arial" w:hAnsi="Arial" w:cs="Arial"/>
          <w:color w:val="0F1115"/>
        </w:rPr>
      </w:pPr>
      <w:r w:rsidRPr="003B414A">
        <w:rPr>
          <w:rStyle w:val="Strong"/>
          <w:rFonts w:ascii="Arial" w:hAnsi="Arial" w:cs="Arial"/>
          <w:color w:val="0F1115"/>
        </w:rPr>
        <w:t>Digital transformation acceleration</w:t>
      </w:r>
      <w:r w:rsidRPr="003B414A">
        <w:rPr>
          <w:rFonts w:ascii="Arial" w:hAnsi="Arial" w:cs="Arial"/>
          <w:color w:val="0F1115"/>
        </w:rPr>
        <w:t> – Smart cities (NEOM), fintech expansion, and cloud adoption create new risk surfaces</w:t>
      </w:r>
    </w:p>
    <w:p w:rsidR="00832F53" w:rsidRPr="003B414A" w:rsidRDefault="00832F53" w:rsidP="00832F5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540"/>
        <w:rPr>
          <w:rFonts w:ascii="Arial" w:hAnsi="Arial" w:cs="Arial"/>
          <w:color w:val="0F1115"/>
        </w:rPr>
      </w:pPr>
      <w:r w:rsidRPr="003B414A">
        <w:rPr>
          <w:rStyle w:val="Strong"/>
          <w:rFonts w:ascii="Arial" w:hAnsi="Arial" w:cs="Arial"/>
          <w:color w:val="0F1115"/>
        </w:rPr>
        <w:t>Talent shortages</w:t>
      </w:r>
      <w:r w:rsidRPr="003B414A">
        <w:rPr>
          <w:rFonts w:ascii="Arial" w:hAnsi="Arial" w:cs="Arial"/>
          <w:color w:val="0F1115"/>
        </w:rPr>
        <w:t> – The Kingdom faces a 47% cybersecurity skills gap, making automated GRC solutions essential </w:t>
      </w:r>
    </w:p>
    <w:p w:rsidR="00832F53" w:rsidRPr="003B414A" w:rsidRDefault="00832F53" w:rsidP="00832F5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540"/>
        <w:rPr>
          <w:rFonts w:ascii="Arial" w:hAnsi="Arial" w:cs="Arial"/>
          <w:color w:val="0F1115"/>
        </w:rPr>
      </w:pPr>
      <w:r w:rsidRPr="003B414A">
        <w:rPr>
          <w:rStyle w:val="Strong"/>
          <w:rFonts w:ascii="Arial" w:hAnsi="Arial" w:cs="Arial"/>
          <w:color w:val="0F1115"/>
        </w:rPr>
        <w:t>Regulatory maturity</w:t>
      </w:r>
      <w:r w:rsidRPr="003B414A">
        <w:rPr>
          <w:rFonts w:ascii="Arial" w:hAnsi="Arial" w:cs="Arial"/>
          <w:color w:val="0F1115"/>
        </w:rPr>
        <w:t> – Frameworks like NCA ECC-2:2024 and SAMA CSF now require demonstrated control effectiveness, not just policy documentation</w:t>
      </w:r>
    </w:p>
    <w:p w:rsidR="00832F53" w:rsidRPr="003B414A" w:rsidRDefault="00832F53" w:rsidP="00832F53">
      <w:pPr>
        <w:pStyle w:val="ds-markdown-paragraph"/>
        <w:shd w:val="clear" w:color="auto" w:fill="FFFFFF"/>
        <w:spacing w:before="240" w:beforeAutospacing="0" w:after="240" w:afterAutospacing="0"/>
        <w:ind w:left="540"/>
        <w:rPr>
          <w:rFonts w:ascii="Arial" w:hAnsi="Arial" w:cs="Arial"/>
          <w:color w:val="0F1115"/>
        </w:rPr>
      </w:pPr>
      <w:r w:rsidRPr="003B414A">
        <w:rPr>
          <w:rStyle w:val="Strong"/>
          <w:rFonts w:ascii="Arial" w:hAnsi="Arial" w:cs="Arial"/>
          <w:color w:val="0F1115"/>
        </w:rPr>
        <w:t>Flowtech bridges the gap between regulation and execution.</w:t>
      </w:r>
      <w:r w:rsidRPr="003B414A">
        <w:rPr>
          <w:rFonts w:ascii="Arial" w:hAnsi="Arial" w:cs="Arial"/>
          <w:color w:val="0F1115"/>
        </w:rPr>
        <w:t> Our certified professionals translate legal text into actionable technical controls, ensuring your organization stays audit-ready year-round.</w:t>
      </w:r>
    </w:p>
    <w:p w:rsidR="00832F53" w:rsidRPr="003B414A" w:rsidRDefault="00832F53" w:rsidP="00832F53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Arial" w:hAnsi="Arial" w:cs="Arial"/>
          <w:color w:val="0F1115"/>
          <w:sz w:val="33"/>
          <w:szCs w:val="33"/>
        </w:rPr>
      </w:pPr>
      <w:r w:rsidRPr="003B414A">
        <w:rPr>
          <w:rFonts w:ascii="Arial" w:hAnsi="Arial" w:cs="Arial"/>
          <w:color w:val="0F1115"/>
          <w:sz w:val="33"/>
          <w:szCs w:val="33"/>
        </w:rPr>
        <w:t>5.2</w:t>
      </w:r>
      <w:r w:rsidRPr="003B414A">
        <w:rPr>
          <w:rFonts w:ascii="Arial" w:hAnsi="Arial" w:cs="Arial"/>
          <w:color w:val="0F1115"/>
          <w:sz w:val="33"/>
          <w:szCs w:val="33"/>
        </w:rPr>
        <w:t xml:space="preserve"> Our GRC Framework Coverage</w:t>
      </w:r>
    </w:p>
    <w:p w:rsidR="00832F53" w:rsidRPr="003B414A" w:rsidRDefault="00832F53" w:rsidP="00832F53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Arial" w:hAnsi="Arial" w:cs="Arial"/>
          <w:color w:val="0F1115"/>
          <w:sz w:val="30"/>
          <w:szCs w:val="30"/>
        </w:rPr>
      </w:pPr>
      <w:r w:rsidRPr="003B414A">
        <w:rPr>
          <w:rFonts w:ascii="Arial" w:hAnsi="Arial" w:cs="Arial"/>
          <w:color w:val="0F1115"/>
          <w:sz w:val="30"/>
          <w:szCs w:val="30"/>
        </w:rPr>
        <w:t>Complete Regulatory Alignment</w:t>
      </w:r>
    </w:p>
    <w:p w:rsidR="00832F53" w:rsidRPr="003B414A" w:rsidRDefault="00832F53" w:rsidP="00832F5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We cover the full spectrum of Saudi and international standards applicable to your sector.</w:t>
      </w:r>
    </w:p>
    <w:p w:rsidR="00832F53" w:rsidRPr="003B414A" w:rsidRDefault="00832F53" w:rsidP="00832F53">
      <w:pPr>
        <w:pStyle w:val="Heading4"/>
        <w:shd w:val="clear" w:color="auto" w:fill="FFFFFF"/>
        <w:spacing w:before="240" w:after="240" w:line="420" w:lineRule="atLeast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Saudi Regulatory Frameworks</w:t>
      </w:r>
    </w:p>
    <w:tbl>
      <w:tblPr>
        <w:tblW w:w="9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3357"/>
        <w:gridCol w:w="3870"/>
      </w:tblGrid>
      <w:tr w:rsidR="00832F53" w:rsidRPr="003B414A" w:rsidTr="00832F53">
        <w:trPr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2F53" w:rsidRPr="003B414A" w:rsidRDefault="00832F53" w:rsidP="00832F53">
            <w:pPr>
              <w:spacing w:line="375" w:lineRule="atLeast"/>
              <w:jc w:val="center"/>
              <w:rPr>
                <w:rFonts w:ascii="Arial" w:hAnsi="Arial" w:cs="Arial"/>
                <w:b/>
                <w:sz w:val="23"/>
                <w:szCs w:val="23"/>
              </w:rPr>
            </w:pPr>
            <w:r w:rsidRPr="003B414A">
              <w:rPr>
                <w:rFonts w:ascii="Arial" w:hAnsi="Arial" w:cs="Arial"/>
                <w:b/>
                <w:sz w:val="23"/>
                <w:szCs w:val="23"/>
              </w:rPr>
              <w:t>Framework</w:t>
            </w:r>
          </w:p>
        </w:tc>
        <w:tc>
          <w:tcPr>
            <w:tcW w:w="3357" w:type="dxa"/>
            <w:shd w:val="clear" w:color="auto" w:fill="D9D9D9" w:themeFill="background1" w:themeFillShade="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2F53" w:rsidRPr="003B414A" w:rsidRDefault="00832F53" w:rsidP="00832F53">
            <w:pPr>
              <w:spacing w:line="375" w:lineRule="atLeast"/>
              <w:jc w:val="center"/>
              <w:rPr>
                <w:rFonts w:ascii="Arial" w:hAnsi="Arial" w:cs="Arial"/>
                <w:b/>
                <w:sz w:val="23"/>
                <w:szCs w:val="23"/>
              </w:rPr>
            </w:pPr>
            <w:r w:rsidRPr="003B414A">
              <w:rPr>
                <w:rFonts w:ascii="Arial" w:hAnsi="Arial" w:cs="Arial"/>
                <w:b/>
                <w:sz w:val="23"/>
                <w:szCs w:val="23"/>
              </w:rPr>
              <w:t>Applicability</w:t>
            </w:r>
          </w:p>
        </w:tc>
        <w:tc>
          <w:tcPr>
            <w:tcW w:w="3870" w:type="dxa"/>
            <w:shd w:val="clear" w:color="auto" w:fill="D9D9D9" w:themeFill="background1" w:themeFillShade="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2F53" w:rsidRPr="003B414A" w:rsidRDefault="00832F53" w:rsidP="00832F53">
            <w:pPr>
              <w:spacing w:line="375" w:lineRule="atLeast"/>
              <w:jc w:val="center"/>
              <w:rPr>
                <w:rFonts w:ascii="Arial" w:hAnsi="Arial" w:cs="Arial"/>
                <w:b/>
                <w:sz w:val="23"/>
                <w:szCs w:val="23"/>
              </w:rPr>
            </w:pPr>
            <w:r w:rsidRPr="003B414A">
              <w:rPr>
                <w:rFonts w:ascii="Arial" w:hAnsi="Arial" w:cs="Arial"/>
                <w:b/>
                <w:sz w:val="23"/>
                <w:szCs w:val="23"/>
              </w:rPr>
              <w:t>Key Focus</w:t>
            </w:r>
          </w:p>
        </w:tc>
      </w:tr>
      <w:tr w:rsidR="00832F53" w:rsidRPr="003B414A" w:rsidTr="00832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2F53" w:rsidRPr="003B414A" w:rsidRDefault="00832F53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3B414A">
              <w:rPr>
                <w:rStyle w:val="Strong"/>
                <w:rFonts w:ascii="Arial" w:hAnsi="Arial" w:cs="Arial"/>
                <w:sz w:val="23"/>
                <w:szCs w:val="23"/>
              </w:rPr>
              <w:t>SAMA CSF</w:t>
            </w:r>
          </w:p>
        </w:tc>
        <w:tc>
          <w:tcPr>
            <w:tcW w:w="33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2F53" w:rsidRPr="003B414A" w:rsidRDefault="00832F53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3B414A">
              <w:rPr>
                <w:rFonts w:ascii="Arial" w:hAnsi="Arial" w:cs="Arial"/>
                <w:sz w:val="23"/>
                <w:szCs w:val="23"/>
              </w:rPr>
              <w:t>All SAMA-regulated financial institutions (banks, insurers, fintechs, payment providers)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2F53" w:rsidRPr="003B414A" w:rsidRDefault="00832F53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3B414A">
              <w:rPr>
                <w:rFonts w:ascii="Arial" w:hAnsi="Arial" w:cs="Arial"/>
                <w:sz w:val="23"/>
                <w:szCs w:val="23"/>
              </w:rPr>
              <w:t>Four control domains requiring Level 3 maturity minimum; mandatory GRC tool for compliance </w:t>
            </w:r>
          </w:p>
        </w:tc>
      </w:tr>
      <w:tr w:rsidR="00832F53" w:rsidRPr="003B414A" w:rsidTr="00832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2F53" w:rsidRPr="003B414A" w:rsidRDefault="00832F53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3B414A">
              <w:rPr>
                <w:rStyle w:val="Strong"/>
                <w:rFonts w:ascii="Arial" w:hAnsi="Arial" w:cs="Arial"/>
                <w:sz w:val="23"/>
                <w:szCs w:val="23"/>
              </w:rPr>
              <w:t>NCA ECC (Essential Cybersecurity Controls)</w:t>
            </w:r>
          </w:p>
        </w:tc>
        <w:tc>
          <w:tcPr>
            <w:tcW w:w="33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2F53" w:rsidRPr="003B414A" w:rsidRDefault="00832F53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3B414A">
              <w:rPr>
                <w:rFonts w:ascii="Arial" w:hAnsi="Arial" w:cs="Arial"/>
                <w:sz w:val="23"/>
                <w:szCs w:val="23"/>
              </w:rPr>
              <w:t>Government entities, critical infrastructure operators, government contractors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2F53" w:rsidRPr="003B414A" w:rsidRDefault="00832F53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3B414A">
              <w:rPr>
                <w:rFonts w:ascii="Arial" w:hAnsi="Arial" w:cs="Arial"/>
                <w:sz w:val="23"/>
                <w:szCs w:val="23"/>
              </w:rPr>
              <w:t>Vulnerability management, penetration testing, and continuous control monitoring </w:t>
            </w:r>
          </w:p>
        </w:tc>
      </w:tr>
      <w:tr w:rsidR="00832F53" w:rsidRPr="003B414A" w:rsidTr="00832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2F53" w:rsidRPr="003B414A" w:rsidRDefault="00832F53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3B414A">
              <w:rPr>
                <w:rStyle w:val="Strong"/>
                <w:rFonts w:ascii="Arial" w:hAnsi="Arial" w:cs="Arial"/>
                <w:sz w:val="23"/>
                <w:szCs w:val="23"/>
              </w:rPr>
              <w:lastRenderedPageBreak/>
              <w:t>NCA CCC (Critical Systems Cybersecurity)</w:t>
            </w:r>
          </w:p>
        </w:tc>
        <w:tc>
          <w:tcPr>
            <w:tcW w:w="33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2F53" w:rsidRPr="003B414A" w:rsidRDefault="00832F53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3B414A">
              <w:rPr>
                <w:rFonts w:ascii="Arial" w:hAnsi="Arial" w:cs="Arial"/>
                <w:sz w:val="23"/>
                <w:szCs w:val="23"/>
              </w:rPr>
              <w:t>Operators of national critical infrastructure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2F53" w:rsidRPr="003B414A" w:rsidRDefault="00832F53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3B414A">
              <w:rPr>
                <w:rFonts w:ascii="Arial" w:hAnsi="Arial" w:cs="Arial"/>
                <w:sz w:val="23"/>
                <w:szCs w:val="23"/>
              </w:rPr>
              <w:t>Enhanced controls for systems whose disruption would impact national security or essential services</w:t>
            </w:r>
          </w:p>
        </w:tc>
      </w:tr>
      <w:tr w:rsidR="00832F53" w:rsidRPr="003B414A" w:rsidTr="00832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2F53" w:rsidRPr="003B414A" w:rsidRDefault="00832F53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3B414A">
              <w:rPr>
                <w:rStyle w:val="Strong"/>
                <w:rFonts w:ascii="Arial" w:hAnsi="Arial" w:cs="Arial"/>
                <w:sz w:val="23"/>
                <w:szCs w:val="23"/>
              </w:rPr>
              <w:t>PDPL (Personal Data Protection Law)</w:t>
            </w:r>
          </w:p>
        </w:tc>
        <w:tc>
          <w:tcPr>
            <w:tcW w:w="33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2F53" w:rsidRPr="003B414A" w:rsidRDefault="00832F53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3B414A">
              <w:rPr>
                <w:rFonts w:ascii="Arial" w:hAnsi="Arial" w:cs="Arial"/>
                <w:sz w:val="23"/>
                <w:szCs w:val="23"/>
              </w:rPr>
              <w:t>Any entity processing personal data of Saudi residents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2F53" w:rsidRPr="003B414A" w:rsidRDefault="00832F53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3B414A">
              <w:rPr>
                <w:rFonts w:ascii="Arial" w:hAnsi="Arial" w:cs="Arial"/>
                <w:sz w:val="23"/>
                <w:szCs w:val="23"/>
              </w:rPr>
              <w:t>Data sovereignty, breach notification, DSAR automation, consent management</w:t>
            </w:r>
          </w:p>
        </w:tc>
      </w:tr>
      <w:tr w:rsidR="00832F53" w:rsidRPr="003B414A" w:rsidTr="00832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2F53" w:rsidRPr="003B414A" w:rsidRDefault="00832F53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3B414A">
              <w:rPr>
                <w:rStyle w:val="Strong"/>
                <w:rFonts w:ascii="Arial" w:hAnsi="Arial" w:cs="Arial"/>
                <w:sz w:val="23"/>
                <w:szCs w:val="23"/>
              </w:rPr>
              <w:t>Aramco SACS-002</w:t>
            </w:r>
          </w:p>
        </w:tc>
        <w:tc>
          <w:tcPr>
            <w:tcW w:w="33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2F53" w:rsidRPr="003B414A" w:rsidRDefault="00832F53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3B414A">
              <w:rPr>
                <w:rFonts w:ascii="Arial" w:hAnsi="Arial" w:cs="Arial"/>
                <w:sz w:val="23"/>
                <w:szCs w:val="23"/>
              </w:rPr>
              <w:t>Third-party vendors and contractors serving Saudi Aramco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2F53" w:rsidRPr="003B414A" w:rsidRDefault="00832F53">
            <w:pPr>
              <w:spacing w:line="375" w:lineRule="atLeast"/>
              <w:rPr>
                <w:rFonts w:ascii="Arial" w:hAnsi="Arial" w:cs="Arial"/>
                <w:sz w:val="23"/>
                <w:szCs w:val="23"/>
              </w:rPr>
            </w:pPr>
            <w:r w:rsidRPr="003B414A">
              <w:rPr>
                <w:rFonts w:ascii="Arial" w:hAnsi="Arial" w:cs="Arial"/>
                <w:sz w:val="23"/>
                <w:szCs w:val="23"/>
              </w:rPr>
              <w:t>Supply chain cybersecurity requirements for energy sector</w:t>
            </w:r>
          </w:p>
        </w:tc>
      </w:tr>
    </w:tbl>
    <w:p w:rsidR="00832F53" w:rsidRPr="003B414A" w:rsidRDefault="00832F53" w:rsidP="00832F53">
      <w:pPr>
        <w:pStyle w:val="Heading4"/>
        <w:shd w:val="clear" w:color="auto" w:fill="FFFFFF"/>
        <w:spacing w:before="240" w:after="120" w:line="420" w:lineRule="atLeast"/>
        <w:rPr>
          <w:rFonts w:ascii="Arial" w:hAnsi="Arial" w:cs="Arial"/>
          <w:color w:val="0F1115"/>
          <w:sz w:val="24"/>
          <w:szCs w:val="24"/>
        </w:rPr>
      </w:pPr>
      <w:r w:rsidRPr="003B414A">
        <w:rPr>
          <w:rFonts w:ascii="Arial" w:hAnsi="Arial" w:cs="Arial"/>
          <w:color w:val="0F1115"/>
        </w:rPr>
        <w:t>International Standards</w:t>
      </w:r>
    </w:p>
    <w:p w:rsidR="00832F53" w:rsidRPr="003B414A" w:rsidRDefault="00832F53" w:rsidP="003B414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450"/>
        <w:rPr>
          <w:rFonts w:ascii="Arial" w:hAnsi="Arial" w:cs="Arial"/>
          <w:color w:val="0F1115"/>
        </w:rPr>
      </w:pPr>
      <w:r w:rsidRPr="003B414A">
        <w:rPr>
          <w:rStyle w:val="Strong"/>
          <w:rFonts w:ascii="Arial" w:hAnsi="Arial" w:cs="Arial"/>
          <w:color w:val="0F1115"/>
        </w:rPr>
        <w:t>ISO/IEC 27001</w:t>
      </w:r>
      <w:r w:rsidRPr="003B414A">
        <w:rPr>
          <w:rFonts w:ascii="Arial" w:hAnsi="Arial" w:cs="Arial"/>
          <w:color w:val="0F1115"/>
        </w:rPr>
        <w:t> – Information Security Management Systems (ISMS)</w:t>
      </w:r>
    </w:p>
    <w:p w:rsidR="00832F53" w:rsidRPr="003B414A" w:rsidRDefault="00832F53" w:rsidP="003B414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450"/>
        <w:rPr>
          <w:rFonts w:ascii="Arial" w:hAnsi="Arial" w:cs="Arial"/>
          <w:color w:val="0F1115"/>
        </w:rPr>
      </w:pPr>
      <w:r w:rsidRPr="003B414A">
        <w:rPr>
          <w:rStyle w:val="Strong"/>
          <w:rFonts w:ascii="Arial" w:hAnsi="Arial" w:cs="Arial"/>
          <w:color w:val="0F1115"/>
        </w:rPr>
        <w:t>ISO/IEC 27701</w:t>
      </w:r>
      <w:r w:rsidRPr="003B414A">
        <w:rPr>
          <w:rFonts w:ascii="Arial" w:hAnsi="Arial" w:cs="Arial"/>
          <w:color w:val="0F1115"/>
        </w:rPr>
        <w:t> – Privacy Information Management (PII controller/processor framework)</w:t>
      </w:r>
    </w:p>
    <w:p w:rsidR="00832F53" w:rsidRPr="003B414A" w:rsidRDefault="00832F53" w:rsidP="003B414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450"/>
        <w:rPr>
          <w:rFonts w:ascii="Arial" w:hAnsi="Arial" w:cs="Arial"/>
          <w:color w:val="0F1115"/>
        </w:rPr>
      </w:pPr>
      <w:r w:rsidRPr="003B414A">
        <w:rPr>
          <w:rStyle w:val="Strong"/>
          <w:rFonts w:ascii="Arial" w:hAnsi="Arial" w:cs="Arial"/>
          <w:color w:val="0F1115"/>
        </w:rPr>
        <w:t>ISO/IEC 42001:2023</w:t>
      </w:r>
      <w:r w:rsidRPr="003B414A">
        <w:rPr>
          <w:rFonts w:ascii="Arial" w:hAnsi="Arial" w:cs="Arial"/>
          <w:color w:val="0F1115"/>
        </w:rPr>
        <w:t> – AI Management Systems (First global AI governance standard; SDAIA became world’s first ISO 42001-certified entity in 2024) </w:t>
      </w:r>
    </w:p>
    <w:p w:rsidR="00832F53" w:rsidRPr="003B414A" w:rsidRDefault="00832F53" w:rsidP="00832F53">
      <w:pPr>
        <w:pStyle w:val="Heading4"/>
        <w:shd w:val="clear" w:color="auto" w:fill="FFFFFF"/>
        <w:spacing w:before="240" w:after="120" w:line="420" w:lineRule="atLeast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Sector-Specific Coverage</w:t>
      </w:r>
    </w:p>
    <w:p w:rsidR="00832F53" w:rsidRPr="003B414A" w:rsidRDefault="00832F53" w:rsidP="003B414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540"/>
        <w:rPr>
          <w:rFonts w:ascii="Arial" w:hAnsi="Arial" w:cs="Arial"/>
          <w:color w:val="0F1115"/>
        </w:rPr>
      </w:pPr>
      <w:r w:rsidRPr="003B414A">
        <w:rPr>
          <w:rStyle w:val="Strong"/>
          <w:rFonts w:ascii="Arial" w:hAnsi="Arial" w:cs="Arial"/>
          <w:color w:val="0F1115"/>
        </w:rPr>
        <w:t>Financial Sector</w:t>
      </w:r>
      <w:r w:rsidRPr="003B414A">
        <w:rPr>
          <w:rFonts w:ascii="Arial" w:hAnsi="Arial" w:cs="Arial"/>
          <w:color w:val="0F1115"/>
        </w:rPr>
        <w:t> → SAMA CSF full compliance</w:t>
      </w:r>
    </w:p>
    <w:p w:rsidR="00832F53" w:rsidRPr="003B414A" w:rsidRDefault="00832F53" w:rsidP="003B414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540"/>
        <w:rPr>
          <w:rFonts w:ascii="Arial" w:hAnsi="Arial" w:cs="Arial"/>
          <w:color w:val="0F1115"/>
        </w:rPr>
      </w:pPr>
      <w:r w:rsidRPr="003B414A">
        <w:rPr>
          <w:rStyle w:val="Strong"/>
          <w:rFonts w:ascii="Arial" w:hAnsi="Arial" w:cs="Arial"/>
          <w:color w:val="0F1115"/>
        </w:rPr>
        <w:t>Government &amp; Critical Infrastructure</w:t>
      </w:r>
      <w:r w:rsidRPr="003B414A">
        <w:rPr>
          <w:rFonts w:ascii="Arial" w:hAnsi="Arial" w:cs="Arial"/>
          <w:color w:val="0F1115"/>
        </w:rPr>
        <w:t> → NCA ECC/CCC mandates</w:t>
      </w:r>
    </w:p>
    <w:p w:rsidR="00832F53" w:rsidRPr="003B414A" w:rsidRDefault="00832F53" w:rsidP="003B414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540"/>
        <w:rPr>
          <w:rFonts w:ascii="Arial" w:hAnsi="Arial" w:cs="Arial"/>
          <w:color w:val="0F1115"/>
        </w:rPr>
      </w:pPr>
      <w:r w:rsidRPr="003B414A">
        <w:rPr>
          <w:rStyle w:val="Strong"/>
          <w:rFonts w:ascii="Arial" w:hAnsi="Arial" w:cs="Arial"/>
          <w:color w:val="0F1115"/>
        </w:rPr>
        <w:t>Data Protection</w:t>
      </w:r>
      <w:r w:rsidRPr="003B414A">
        <w:rPr>
          <w:rFonts w:ascii="Arial" w:hAnsi="Arial" w:cs="Arial"/>
          <w:color w:val="0F1115"/>
        </w:rPr>
        <w:t> → PDPL readiness and enforcement</w:t>
      </w:r>
    </w:p>
    <w:p w:rsidR="00832F53" w:rsidRPr="003B414A" w:rsidRDefault="00832F53" w:rsidP="003B414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540"/>
        <w:rPr>
          <w:rFonts w:ascii="Arial" w:hAnsi="Arial" w:cs="Arial"/>
          <w:color w:val="0F1115"/>
        </w:rPr>
      </w:pPr>
      <w:r w:rsidRPr="003B414A">
        <w:rPr>
          <w:rStyle w:val="Strong"/>
          <w:rFonts w:ascii="Arial" w:hAnsi="Arial" w:cs="Arial"/>
          <w:color w:val="0F1115"/>
        </w:rPr>
        <w:t>Third-Party Vendors</w:t>
      </w:r>
      <w:r w:rsidRPr="003B414A">
        <w:rPr>
          <w:rFonts w:ascii="Arial" w:hAnsi="Arial" w:cs="Arial"/>
          <w:color w:val="0F1115"/>
        </w:rPr>
        <w:t> → Supply chain risk management</w:t>
      </w:r>
    </w:p>
    <w:p w:rsidR="00832F53" w:rsidRDefault="00832F53" w:rsidP="00832F53">
      <w:pPr>
        <w:spacing w:before="480" w:after="480"/>
        <w:rPr>
          <w:rFonts w:ascii="Arial" w:hAnsi="Arial" w:cs="Arial"/>
        </w:rPr>
      </w:pPr>
    </w:p>
    <w:p w:rsidR="003B414A" w:rsidRDefault="003B414A" w:rsidP="00832F53">
      <w:pPr>
        <w:spacing w:before="480" w:after="480"/>
        <w:rPr>
          <w:rFonts w:ascii="Arial" w:hAnsi="Arial" w:cs="Arial"/>
        </w:rPr>
      </w:pPr>
    </w:p>
    <w:p w:rsidR="003B414A" w:rsidRPr="003B414A" w:rsidRDefault="003B414A" w:rsidP="00832F53">
      <w:pPr>
        <w:spacing w:before="480" w:after="480"/>
        <w:rPr>
          <w:rFonts w:ascii="Arial" w:hAnsi="Arial" w:cs="Arial"/>
        </w:rPr>
      </w:pPr>
    </w:p>
    <w:p w:rsidR="00832F53" w:rsidRPr="003B414A" w:rsidRDefault="003B414A" w:rsidP="00832F53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Arial" w:hAnsi="Arial" w:cs="Arial"/>
          <w:color w:val="0F1115"/>
          <w:sz w:val="33"/>
          <w:szCs w:val="33"/>
        </w:rPr>
      </w:pPr>
      <w:r w:rsidRPr="003B414A">
        <w:rPr>
          <w:rFonts w:ascii="Arial" w:hAnsi="Arial" w:cs="Arial"/>
          <w:color w:val="0F1115"/>
          <w:sz w:val="33"/>
          <w:szCs w:val="33"/>
        </w:rPr>
        <w:lastRenderedPageBreak/>
        <w:t>5.3</w:t>
      </w:r>
      <w:r w:rsidR="00832F53" w:rsidRPr="003B414A">
        <w:rPr>
          <w:rFonts w:ascii="Arial" w:hAnsi="Arial" w:cs="Arial"/>
          <w:color w:val="0F1115"/>
          <w:sz w:val="33"/>
          <w:szCs w:val="33"/>
        </w:rPr>
        <w:t xml:space="preserve"> Core GRC Services</w:t>
      </w:r>
    </w:p>
    <w:p w:rsidR="00832F53" w:rsidRPr="003B414A" w:rsidRDefault="00832F53" w:rsidP="00832F53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Arial" w:hAnsi="Arial" w:cs="Arial"/>
          <w:color w:val="0F1115"/>
          <w:sz w:val="30"/>
          <w:szCs w:val="30"/>
        </w:rPr>
      </w:pPr>
      <w:r w:rsidRPr="003B414A">
        <w:rPr>
          <w:rFonts w:ascii="Arial" w:hAnsi="Arial" w:cs="Arial"/>
          <w:color w:val="0F1115"/>
          <w:sz w:val="30"/>
          <w:szCs w:val="30"/>
        </w:rPr>
        <w:t>What We Deliver</w:t>
      </w:r>
    </w:p>
    <w:p w:rsidR="00832F53" w:rsidRPr="003B414A" w:rsidRDefault="003B414A" w:rsidP="00832F5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 w:rsidRPr="003B414A">
        <w:rPr>
          <w:rStyle w:val="Strong"/>
          <w:rFonts w:ascii="Arial" w:hAnsi="Arial" w:cs="Arial"/>
          <w:color w:val="0F1115"/>
        </w:rPr>
        <w:t>5.3.1</w:t>
      </w:r>
      <w:r w:rsidR="00832F53" w:rsidRPr="003B414A">
        <w:rPr>
          <w:rStyle w:val="Strong"/>
          <w:rFonts w:ascii="Arial" w:hAnsi="Arial" w:cs="Arial"/>
          <w:color w:val="0F1115"/>
        </w:rPr>
        <w:t>.</w:t>
      </w:r>
      <w:r w:rsidRPr="003B414A">
        <w:rPr>
          <w:rStyle w:val="Strong"/>
          <w:rFonts w:ascii="Arial" w:hAnsi="Arial" w:cs="Arial"/>
          <w:color w:val="0F1115"/>
        </w:rPr>
        <w:t xml:space="preserve"> </w:t>
      </w:r>
      <w:r w:rsidR="00832F53" w:rsidRPr="003B414A">
        <w:rPr>
          <w:rStyle w:val="Strong"/>
          <w:rFonts w:ascii="Arial" w:hAnsi="Arial" w:cs="Arial"/>
          <w:color w:val="0F1115"/>
        </w:rPr>
        <w:t xml:space="preserve"> Compliance Gap Assessments</w:t>
      </w:r>
    </w:p>
    <w:p w:rsidR="00832F53" w:rsidRPr="003B414A" w:rsidRDefault="00832F53" w:rsidP="003B414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Comprehensive evaluation against SAMA, NCA, or PDPL requirements</w:t>
      </w:r>
    </w:p>
    <w:p w:rsidR="00832F53" w:rsidRPr="003B414A" w:rsidRDefault="00832F53" w:rsidP="003B414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Prioritized remediation roadmap with effort estimates</w:t>
      </w:r>
    </w:p>
    <w:p w:rsidR="00832F53" w:rsidRPr="003B414A" w:rsidRDefault="00832F53" w:rsidP="003B414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Evidence gap analysis identifying missing documentation or controls</w:t>
      </w:r>
    </w:p>
    <w:p w:rsidR="00832F53" w:rsidRPr="003B414A" w:rsidRDefault="003B414A" w:rsidP="00832F5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 w:rsidRPr="003B414A">
        <w:rPr>
          <w:rStyle w:val="Strong"/>
          <w:rFonts w:ascii="Arial" w:hAnsi="Arial" w:cs="Arial"/>
          <w:color w:val="0F1115"/>
        </w:rPr>
        <w:t>5.3.</w:t>
      </w:r>
      <w:r w:rsidR="00832F53" w:rsidRPr="003B414A">
        <w:rPr>
          <w:rStyle w:val="Strong"/>
          <w:rFonts w:ascii="Arial" w:hAnsi="Arial" w:cs="Arial"/>
          <w:color w:val="0F1115"/>
        </w:rPr>
        <w:t>2. Risk Management &amp; Internal Audit</w:t>
      </w:r>
    </w:p>
    <w:p w:rsidR="00832F53" w:rsidRPr="003B414A" w:rsidRDefault="00832F53" w:rsidP="003B414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Enterprise risk register aligned with ISO 31000 and NCA frameworks</w:t>
      </w:r>
    </w:p>
    <w:p w:rsidR="00832F53" w:rsidRPr="003B414A" w:rsidRDefault="00832F53" w:rsidP="003B414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Internal audit programs for SAMA CSF Domain 2 compliance</w:t>
      </w:r>
    </w:p>
    <w:p w:rsidR="00832F53" w:rsidRPr="003B414A" w:rsidRDefault="00832F53" w:rsidP="003B414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Risk treatment planning with executive dashboards</w:t>
      </w:r>
    </w:p>
    <w:p w:rsidR="00832F53" w:rsidRPr="003B414A" w:rsidRDefault="003B414A" w:rsidP="00832F5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 w:rsidRPr="003B414A">
        <w:rPr>
          <w:rStyle w:val="Strong"/>
          <w:rFonts w:ascii="Arial" w:hAnsi="Arial" w:cs="Arial"/>
          <w:color w:val="0F1115"/>
        </w:rPr>
        <w:t>5.3.</w:t>
      </w:r>
      <w:r w:rsidR="00832F53" w:rsidRPr="003B414A">
        <w:rPr>
          <w:rStyle w:val="Strong"/>
          <w:rFonts w:ascii="Arial" w:hAnsi="Arial" w:cs="Arial"/>
          <w:color w:val="0F1115"/>
        </w:rPr>
        <w:t>3. VAPT (Vulnerability Assessment &amp; Penetration Testing)</w:t>
      </w:r>
      <w:r w:rsidR="00832F53" w:rsidRPr="003B414A">
        <w:rPr>
          <w:rFonts w:ascii="Arial" w:hAnsi="Arial" w:cs="Arial"/>
          <w:color w:val="0F1115"/>
        </w:rPr>
        <w:t> </w:t>
      </w:r>
    </w:p>
    <w:p w:rsidR="00832F53" w:rsidRPr="003B414A" w:rsidRDefault="00832F53" w:rsidP="003B414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Style w:val="Strong"/>
          <w:rFonts w:ascii="Arial" w:hAnsi="Arial" w:cs="Arial"/>
          <w:color w:val="0F1115"/>
        </w:rPr>
        <w:t>Vulnerability Assessment</w:t>
      </w:r>
      <w:r w:rsidRPr="003B414A">
        <w:rPr>
          <w:rFonts w:ascii="Arial" w:hAnsi="Arial" w:cs="Arial"/>
          <w:color w:val="0F1115"/>
        </w:rPr>
        <w:t> – Systematic scanning of networks, servers, and applications to identify known weaknesses</w:t>
      </w:r>
    </w:p>
    <w:p w:rsidR="00832F53" w:rsidRPr="003B414A" w:rsidRDefault="00832F53" w:rsidP="003B414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Style w:val="Strong"/>
          <w:rFonts w:ascii="Arial" w:hAnsi="Arial" w:cs="Arial"/>
          <w:color w:val="0F1115"/>
        </w:rPr>
        <w:t>Penetration Testing</w:t>
      </w:r>
      <w:r w:rsidRPr="003B414A">
        <w:rPr>
          <w:rFonts w:ascii="Arial" w:hAnsi="Arial" w:cs="Arial"/>
          <w:color w:val="0F1115"/>
        </w:rPr>
        <w:t> – Simulated real-world attacks to validate whether vulnerabilities can be exploited</w:t>
      </w:r>
    </w:p>
    <w:p w:rsidR="00832F53" w:rsidRPr="003B414A" w:rsidRDefault="00832F53" w:rsidP="003B414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Style w:val="Strong"/>
          <w:rFonts w:ascii="Arial" w:hAnsi="Arial" w:cs="Arial"/>
          <w:color w:val="0F1115"/>
        </w:rPr>
        <w:t>Regulatory requirement</w:t>
      </w:r>
      <w:r w:rsidRPr="003B414A">
        <w:rPr>
          <w:rFonts w:ascii="Arial" w:hAnsi="Arial" w:cs="Arial"/>
          <w:color w:val="0F1115"/>
        </w:rPr>
        <w:t> – Mandatory under NCA ECC and SAMA CSF; required at least annually or after significant infrastructure changes</w:t>
      </w:r>
    </w:p>
    <w:p w:rsidR="00832F53" w:rsidRPr="003B414A" w:rsidRDefault="003B414A" w:rsidP="00832F5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 w:rsidRPr="003B414A">
        <w:rPr>
          <w:rStyle w:val="Strong"/>
          <w:rFonts w:ascii="Arial" w:hAnsi="Arial" w:cs="Arial"/>
          <w:color w:val="0F1115"/>
        </w:rPr>
        <w:t>5.3.</w:t>
      </w:r>
      <w:r w:rsidR="00832F53" w:rsidRPr="003B414A">
        <w:rPr>
          <w:rStyle w:val="Strong"/>
          <w:rFonts w:ascii="Arial" w:hAnsi="Arial" w:cs="Arial"/>
          <w:color w:val="0F1115"/>
        </w:rPr>
        <w:t>4. Third-Party Risk Management (TPRM)</w:t>
      </w:r>
    </w:p>
    <w:p w:rsidR="00832F53" w:rsidRPr="003B414A" w:rsidRDefault="00832F53" w:rsidP="003B414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Vendor assessment frameworks aligned with SAMA Domain 4 and Aramco SACS-002</w:t>
      </w:r>
    </w:p>
    <w:p w:rsidR="00832F53" w:rsidRPr="003B414A" w:rsidRDefault="00832F53" w:rsidP="003B414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Continuous vendor monitoring through automated tools</w:t>
      </w:r>
    </w:p>
    <w:p w:rsidR="00832F53" w:rsidRPr="003B414A" w:rsidRDefault="00832F53" w:rsidP="003B414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Contractual flow-down of cybersecurity requirements</w:t>
      </w:r>
    </w:p>
    <w:p w:rsidR="00832F53" w:rsidRPr="003B414A" w:rsidRDefault="003B414A" w:rsidP="00832F5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 w:rsidRPr="003B414A">
        <w:rPr>
          <w:rStyle w:val="Strong"/>
          <w:rFonts w:ascii="Arial" w:hAnsi="Arial" w:cs="Arial"/>
          <w:color w:val="0F1115"/>
        </w:rPr>
        <w:t>5.3.</w:t>
      </w:r>
      <w:r w:rsidR="00832F53" w:rsidRPr="003B414A">
        <w:rPr>
          <w:rStyle w:val="Strong"/>
          <w:rFonts w:ascii="Arial" w:hAnsi="Arial" w:cs="Arial"/>
          <w:color w:val="0F1115"/>
        </w:rPr>
        <w:t>5. GRC Technology Enablement</w:t>
      </w:r>
    </w:p>
    <w:p w:rsidR="00832F53" w:rsidRPr="003B414A" w:rsidRDefault="00832F53" w:rsidP="003B414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Integrated GRC platform implementation (OneTrust, similar tools)</w:t>
      </w:r>
    </w:p>
    <w:p w:rsidR="00832F53" w:rsidRPr="003B414A" w:rsidRDefault="00832F53" w:rsidP="003B414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Automated control monitoring for real-time compliance visibility</w:t>
      </w:r>
    </w:p>
    <w:p w:rsidR="00832F53" w:rsidRPr="003B414A" w:rsidRDefault="00832F53" w:rsidP="003B414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Audit-ready dashboards and evidence repositories</w:t>
      </w:r>
    </w:p>
    <w:p w:rsidR="00832F53" w:rsidRPr="003B414A" w:rsidRDefault="003B414A" w:rsidP="00832F5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 w:rsidRPr="003B414A">
        <w:rPr>
          <w:rStyle w:val="Strong"/>
          <w:rFonts w:ascii="Arial" w:hAnsi="Arial" w:cs="Arial"/>
          <w:color w:val="0F1115"/>
        </w:rPr>
        <w:t>5.3.</w:t>
      </w:r>
      <w:r w:rsidR="00832F53" w:rsidRPr="003B414A">
        <w:rPr>
          <w:rStyle w:val="Strong"/>
          <w:rFonts w:ascii="Arial" w:hAnsi="Arial" w:cs="Arial"/>
          <w:color w:val="0F1115"/>
        </w:rPr>
        <w:t>6. AI Governance &amp; ISO 42001 Readiness</w:t>
      </w:r>
      <w:r w:rsidR="00832F53" w:rsidRPr="003B414A">
        <w:rPr>
          <w:rFonts w:ascii="Arial" w:hAnsi="Arial" w:cs="Arial"/>
          <w:color w:val="0F1115"/>
        </w:rPr>
        <w:t> </w:t>
      </w:r>
    </w:p>
    <w:p w:rsidR="00832F53" w:rsidRPr="003B414A" w:rsidRDefault="00832F53" w:rsidP="003B414A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AI asset inventory and risk classification</w:t>
      </w:r>
    </w:p>
    <w:p w:rsidR="00832F53" w:rsidRPr="003B414A" w:rsidRDefault="00832F53" w:rsidP="003B414A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Control mapping to ISO 42001 and NIST AI RMF</w:t>
      </w:r>
    </w:p>
    <w:p w:rsidR="00832F53" w:rsidRPr="003B414A" w:rsidRDefault="00832F53" w:rsidP="003B414A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AI review board establishment and governance framework design</w:t>
      </w:r>
    </w:p>
    <w:p w:rsidR="00832F53" w:rsidRPr="003B414A" w:rsidRDefault="003B414A" w:rsidP="00832F53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Arial" w:hAnsi="Arial" w:cs="Arial"/>
          <w:color w:val="0F1115"/>
          <w:sz w:val="33"/>
          <w:szCs w:val="33"/>
        </w:rPr>
      </w:pPr>
      <w:r w:rsidRPr="003B414A">
        <w:rPr>
          <w:rFonts w:ascii="Arial" w:hAnsi="Arial" w:cs="Arial"/>
          <w:color w:val="0F1115"/>
          <w:sz w:val="33"/>
          <w:szCs w:val="33"/>
        </w:rPr>
        <w:lastRenderedPageBreak/>
        <w:t>5.4.</w:t>
      </w:r>
      <w:r w:rsidR="00832F53" w:rsidRPr="003B414A">
        <w:rPr>
          <w:rFonts w:ascii="Arial" w:hAnsi="Arial" w:cs="Arial"/>
          <w:color w:val="0F1115"/>
          <w:sz w:val="33"/>
          <w:szCs w:val="33"/>
        </w:rPr>
        <w:t xml:space="preserve"> Our GRC Methodology</w:t>
      </w:r>
    </w:p>
    <w:p w:rsidR="00832F53" w:rsidRPr="003B414A" w:rsidRDefault="00832F53" w:rsidP="00832F53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Arial" w:hAnsi="Arial" w:cs="Arial"/>
          <w:color w:val="0F1115"/>
          <w:sz w:val="30"/>
          <w:szCs w:val="30"/>
        </w:rPr>
      </w:pPr>
      <w:r w:rsidRPr="003B414A">
        <w:rPr>
          <w:rFonts w:ascii="Arial" w:hAnsi="Arial" w:cs="Arial"/>
          <w:color w:val="0F1115"/>
          <w:sz w:val="30"/>
          <w:szCs w:val="30"/>
        </w:rPr>
        <w:t>From Assessment to Audit-Ready Operations</w:t>
      </w:r>
    </w:p>
    <w:p w:rsidR="00832F53" w:rsidRPr="003B414A" w:rsidRDefault="00832F53" w:rsidP="00832F5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 w:rsidRPr="003B414A">
        <w:rPr>
          <w:rStyle w:val="Strong"/>
          <w:rFonts w:ascii="Arial" w:hAnsi="Arial" w:cs="Arial"/>
          <w:color w:val="0F1115"/>
        </w:rPr>
        <w:t>Phase 1: Discovery &amp; Gap Analysis</w:t>
      </w:r>
    </w:p>
    <w:p w:rsidR="00832F53" w:rsidRPr="003B414A" w:rsidRDefault="00832F53" w:rsidP="003B414A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Regulatory scoping based on your sector and data types</w:t>
      </w:r>
    </w:p>
    <w:p w:rsidR="00832F53" w:rsidRPr="003B414A" w:rsidRDefault="00832F53" w:rsidP="003B414A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Current state assessment against applicable frameworks</w:t>
      </w:r>
    </w:p>
    <w:p w:rsidR="00832F53" w:rsidRPr="003B414A" w:rsidRDefault="00832F53" w:rsidP="003B414A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Gap prioritization by risk severity and compliance deadline</w:t>
      </w:r>
    </w:p>
    <w:p w:rsidR="00832F53" w:rsidRPr="003B414A" w:rsidRDefault="00832F53" w:rsidP="00832F5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 w:rsidRPr="003B414A">
        <w:rPr>
          <w:rStyle w:val="Strong"/>
          <w:rFonts w:ascii="Arial" w:hAnsi="Arial" w:cs="Arial"/>
          <w:color w:val="0F1115"/>
        </w:rPr>
        <w:t>Phase 2: Framework Implementation</w:t>
      </w:r>
    </w:p>
    <w:p w:rsidR="00832F53" w:rsidRPr="003B414A" w:rsidRDefault="00832F53" w:rsidP="003B414A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Policy and procedure development aligned to control requirements</w:t>
      </w:r>
    </w:p>
    <w:p w:rsidR="00832F53" w:rsidRPr="003B414A" w:rsidRDefault="00832F53" w:rsidP="003B414A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Technical control deployment (encryption, access management, logging)</w:t>
      </w:r>
    </w:p>
    <w:p w:rsidR="00832F53" w:rsidRPr="003B414A" w:rsidRDefault="00832F53" w:rsidP="003B414A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GRC tool configuration and integration</w:t>
      </w:r>
    </w:p>
    <w:p w:rsidR="00832F53" w:rsidRPr="003B414A" w:rsidRDefault="00832F53" w:rsidP="00832F5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 w:rsidRPr="003B414A">
        <w:rPr>
          <w:rStyle w:val="Strong"/>
          <w:rFonts w:ascii="Arial" w:hAnsi="Arial" w:cs="Arial"/>
          <w:color w:val="0F1115"/>
        </w:rPr>
        <w:t>Phase 3: Validation &amp; Testing</w:t>
      </w:r>
    </w:p>
    <w:p w:rsidR="00832F53" w:rsidRPr="003B414A" w:rsidRDefault="00832F53" w:rsidP="003B414A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VAPT execution by certified testers</w:t>
      </w:r>
    </w:p>
    <w:p w:rsidR="00832F53" w:rsidRPr="003B414A" w:rsidRDefault="00832F53" w:rsidP="003B414A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Internal audit against control objectives</w:t>
      </w:r>
    </w:p>
    <w:p w:rsidR="00832F53" w:rsidRPr="003B414A" w:rsidRDefault="00832F53" w:rsidP="003B414A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Remediation tracking and re-testing</w:t>
      </w:r>
    </w:p>
    <w:p w:rsidR="00832F53" w:rsidRPr="003B414A" w:rsidRDefault="00832F53" w:rsidP="00832F5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 w:rsidRPr="003B414A">
        <w:rPr>
          <w:rStyle w:val="Strong"/>
          <w:rFonts w:ascii="Arial" w:hAnsi="Arial" w:cs="Arial"/>
          <w:color w:val="0F1115"/>
        </w:rPr>
        <w:t>Phase 4: Continuous Compliance</w:t>
      </w:r>
    </w:p>
    <w:p w:rsidR="00832F53" w:rsidRPr="003B414A" w:rsidRDefault="00832F53" w:rsidP="003B414A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24/7 automated control monitoring</w:t>
      </w:r>
    </w:p>
    <w:p w:rsidR="00832F53" w:rsidRPr="003B414A" w:rsidRDefault="00832F53" w:rsidP="003B414A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630"/>
        <w:rPr>
          <w:rFonts w:ascii="Arial" w:hAnsi="Arial" w:cs="Arial"/>
          <w:color w:val="0F1115"/>
        </w:rPr>
      </w:pPr>
      <w:r w:rsidRPr="003B414A">
        <w:rPr>
          <w:rFonts w:ascii="Arial" w:hAnsi="Arial" w:cs="Arial"/>
          <w:color w:val="0F1115"/>
        </w:rPr>
        <w:t>Quarterly risk assessments</w:t>
      </w:r>
    </w:p>
    <w:p w:rsidR="00832F53" w:rsidRPr="00832F53" w:rsidRDefault="00832F53" w:rsidP="00D85427">
      <w:pPr>
        <w:pStyle w:val="ds-markdown-paragraph"/>
        <w:numPr>
          <w:ilvl w:val="0"/>
          <w:numId w:val="21"/>
        </w:numPr>
        <w:pBdr>
          <w:bottom w:val="single" w:sz="6" w:space="1" w:color="auto"/>
        </w:pBdr>
        <w:shd w:val="clear" w:color="auto" w:fill="FFFFFF"/>
        <w:spacing w:before="480" w:after="240" w:afterAutospacing="0" w:line="450" w:lineRule="atLeast"/>
        <w:ind w:left="630"/>
        <w:outlineLvl w:val="2"/>
        <w:rPr>
          <w:rFonts w:ascii="Arial" w:hAnsi="Arial" w:cs="Arial"/>
        </w:rPr>
      </w:pPr>
      <w:r w:rsidRPr="003B414A">
        <w:rPr>
          <w:rFonts w:ascii="Arial" w:hAnsi="Arial" w:cs="Arial"/>
          <w:color w:val="0F1115"/>
        </w:rPr>
        <w:t>Semi-annual compliance reporting (per SAMA requirements)</w:t>
      </w:r>
    </w:p>
    <w:p w:rsidR="003B414A" w:rsidRPr="003B414A" w:rsidRDefault="003B414A" w:rsidP="00832F53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</w:rPr>
      </w:pPr>
    </w:p>
    <w:p w:rsidR="003B414A" w:rsidRDefault="003B414A" w:rsidP="00832F53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</w:rPr>
      </w:pPr>
    </w:p>
    <w:p w:rsidR="003B414A" w:rsidRDefault="003B414A" w:rsidP="00832F53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</w:rPr>
      </w:pPr>
    </w:p>
    <w:p w:rsidR="003B414A" w:rsidRDefault="003B414A" w:rsidP="00832F53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</w:rPr>
      </w:pPr>
    </w:p>
    <w:p w:rsidR="003B414A" w:rsidRPr="003B414A" w:rsidRDefault="003B414A" w:rsidP="00832F53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</w:rPr>
      </w:pPr>
    </w:p>
    <w:p w:rsidR="00832F53" w:rsidRPr="00832F53" w:rsidRDefault="00832F53" w:rsidP="00832F53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</w:rPr>
      </w:pPr>
      <w:r w:rsidRPr="00832F53">
        <w:rPr>
          <w:rFonts w:ascii="Arial" w:eastAsia="Times New Roman" w:hAnsi="Arial" w:cs="Arial"/>
          <w:b/>
          <w:bCs/>
          <w:color w:val="0F1115"/>
          <w:sz w:val="33"/>
          <w:szCs w:val="33"/>
        </w:rPr>
        <w:lastRenderedPageBreak/>
        <w:t>Section 3: Why Flowtech?</w:t>
      </w:r>
    </w:p>
    <w:p w:rsidR="00832F53" w:rsidRPr="00832F53" w:rsidRDefault="00832F53" w:rsidP="00832F53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832F53">
        <w:rPr>
          <w:rFonts w:ascii="Arial" w:eastAsia="Times New Roman" w:hAnsi="Arial" w:cs="Arial"/>
          <w:b/>
          <w:bCs/>
          <w:color w:val="0F1115"/>
          <w:sz w:val="30"/>
          <w:szCs w:val="30"/>
        </w:rPr>
        <w:t>Market Context &amp; Our Advantage</w:t>
      </w:r>
    </w:p>
    <w:p w:rsidR="00832F53" w:rsidRPr="00832F53" w:rsidRDefault="00832F53" w:rsidP="00832F53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</w:rPr>
      </w:pPr>
      <w:r w:rsidRPr="00832F53">
        <w:rPr>
          <w:rFonts w:ascii="Arial" w:eastAsia="Times New Roman" w:hAnsi="Arial" w:cs="Arial"/>
          <w:color w:val="0F1115"/>
          <w:sz w:val="24"/>
          <w:szCs w:val="24"/>
        </w:rPr>
        <w:t xml:space="preserve">The Saudi cybersecurity market is projected to grow from USD 2.42 billion in 2026 to USD 4.02 billion by 2031, driven by mandatory compliance frameworks and Vision 2030 </w:t>
      </w:r>
      <w:r w:rsidRPr="003B414A">
        <w:rPr>
          <w:rFonts w:ascii="Arial" w:eastAsia="Times New Roman" w:hAnsi="Arial" w:cs="Arial"/>
          <w:color w:val="0F1115"/>
          <w:sz w:val="24"/>
          <w:szCs w:val="24"/>
        </w:rPr>
        <w:t>digitization.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 xml:space="preserve"> However, a persistent shortage of Tier-3/4 incident-response talent is forcing organizations to rethink their security operating </w:t>
      </w:r>
      <w:r w:rsidRPr="003B414A">
        <w:rPr>
          <w:rFonts w:ascii="Arial" w:eastAsia="Times New Roman" w:hAnsi="Arial" w:cs="Arial"/>
          <w:color w:val="0F1115"/>
          <w:sz w:val="24"/>
          <w:szCs w:val="24"/>
        </w:rPr>
        <w:t>models.</w:t>
      </w:r>
    </w:p>
    <w:p w:rsidR="00832F53" w:rsidRPr="00832F53" w:rsidRDefault="00832F53" w:rsidP="00832F53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We bridge this gap.</w:t>
      </w:r>
    </w:p>
    <w:p w:rsidR="00832F53" w:rsidRPr="00832F53" w:rsidRDefault="00832F53" w:rsidP="00832F5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540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The Talent Solution: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 xml:space="preserve"> Flowtech provides Managed Detection &amp; Response (MDR) as a service, functioning as your virtual CISO and extended SOC team—compensating for the Kingdom’s 47% cybersecurity skills </w:t>
      </w:r>
      <w:r w:rsidRPr="003B414A">
        <w:rPr>
          <w:rFonts w:ascii="Arial" w:eastAsia="Times New Roman" w:hAnsi="Arial" w:cs="Arial"/>
          <w:color w:val="0F1115"/>
          <w:sz w:val="24"/>
          <w:szCs w:val="24"/>
        </w:rPr>
        <w:t>shortage.</w:t>
      </w:r>
    </w:p>
    <w:p w:rsidR="00832F53" w:rsidRPr="00832F53" w:rsidRDefault="00832F53" w:rsidP="00832F5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540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Data Sovereignty Assurance: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 xml:space="preserve"> All operations strictly adhere to PDPL data residency clauses and NCA’s updated CCC-2:2024 localization </w:t>
      </w:r>
      <w:r w:rsidRPr="003B414A">
        <w:rPr>
          <w:rFonts w:ascii="Arial" w:eastAsia="Times New Roman" w:hAnsi="Arial" w:cs="Arial"/>
          <w:color w:val="0F1115"/>
          <w:sz w:val="24"/>
          <w:szCs w:val="24"/>
        </w:rPr>
        <w:t>requirements.</w:t>
      </w:r>
    </w:p>
    <w:p w:rsidR="00832F53" w:rsidRPr="00832F53" w:rsidRDefault="00832F53" w:rsidP="00832F5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540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Proactive Compliance: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> With ECC-2-2024 now mandatory for all entities handling national infrastructure and PDPL enforcement actively issuing decisions, we ensure you are audit-ready, not just checkbox-</w:t>
      </w:r>
      <w:r w:rsidRPr="003B414A">
        <w:rPr>
          <w:rFonts w:ascii="Arial" w:eastAsia="Times New Roman" w:hAnsi="Arial" w:cs="Arial"/>
          <w:color w:val="0F1115"/>
          <w:sz w:val="24"/>
          <w:szCs w:val="24"/>
        </w:rPr>
        <w:t>compliant.</w:t>
      </w:r>
    </w:p>
    <w:p w:rsidR="00832F53" w:rsidRPr="00832F53" w:rsidRDefault="00832F53" w:rsidP="00832F53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</w:p>
    <w:p w:rsidR="00832F53" w:rsidRPr="00832F53" w:rsidRDefault="00832F53" w:rsidP="00832F53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</w:rPr>
      </w:pPr>
      <w:r w:rsidRPr="00832F53">
        <w:rPr>
          <w:rFonts w:ascii="Arial" w:eastAsia="Times New Roman" w:hAnsi="Arial" w:cs="Arial"/>
          <w:b/>
          <w:bCs/>
          <w:color w:val="0F1115"/>
          <w:sz w:val="33"/>
          <w:szCs w:val="33"/>
        </w:rPr>
        <w:t>Section 4: Technology Ecosystem</w:t>
      </w:r>
    </w:p>
    <w:p w:rsidR="00832F53" w:rsidRPr="00832F53" w:rsidRDefault="00832F53" w:rsidP="00832F53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832F53">
        <w:rPr>
          <w:rFonts w:ascii="Arial" w:eastAsia="Times New Roman" w:hAnsi="Arial" w:cs="Arial"/>
          <w:b/>
          <w:bCs/>
          <w:color w:val="0F1115"/>
          <w:sz w:val="30"/>
          <w:szCs w:val="30"/>
        </w:rPr>
        <w:t>Certified Partnerships</w:t>
      </w:r>
    </w:p>
    <w:p w:rsidR="00832F53" w:rsidRPr="00832F53" w:rsidRDefault="00832F53" w:rsidP="00832F53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</w:rPr>
      </w:pPr>
      <w:r w:rsidRPr="00832F53">
        <w:rPr>
          <w:rFonts w:ascii="Arial" w:eastAsia="Times New Roman" w:hAnsi="Arial" w:cs="Arial"/>
          <w:color w:val="0F1115"/>
          <w:sz w:val="24"/>
          <w:szCs w:val="24"/>
        </w:rPr>
        <w:t xml:space="preserve">We maintain a vendor-agnostic approach </w:t>
      </w:r>
      <w:r w:rsidRPr="003B414A">
        <w:rPr>
          <w:rFonts w:ascii="Arial" w:eastAsia="Times New Roman" w:hAnsi="Arial" w:cs="Arial"/>
          <w:color w:val="0F1115"/>
          <w:sz w:val="24"/>
          <w:szCs w:val="24"/>
        </w:rPr>
        <w:t>and are partnered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 xml:space="preserve"> with industry leaders to ensure best-of-breed solutions.</w:t>
      </w:r>
    </w:p>
    <w:p w:rsidR="00832F53" w:rsidRPr="00832F53" w:rsidRDefault="00832F53" w:rsidP="00832F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540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Network Security: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> Palo Alto Networks, Cisco, Fortinet</w:t>
      </w:r>
    </w:p>
    <w:p w:rsidR="00832F53" w:rsidRPr="00832F53" w:rsidRDefault="00832F53" w:rsidP="00832F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540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Cloud &amp; Identity: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> Microsoft Security, HySecure (ZTNA)</w:t>
      </w:r>
    </w:p>
    <w:p w:rsidR="00832F53" w:rsidRPr="00832F53" w:rsidRDefault="00832F53" w:rsidP="00832F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540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Data &amp; GRC: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> OneTrust, VIPRE</w:t>
      </w:r>
    </w:p>
    <w:p w:rsidR="00832F53" w:rsidRPr="00832F53" w:rsidRDefault="00832F53" w:rsidP="00832F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540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Endpoint Protection: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> Trend Micro, CrowdStrike</w:t>
      </w:r>
    </w:p>
    <w:p w:rsidR="00832F53" w:rsidRDefault="00832F53" w:rsidP="00832F53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</w:p>
    <w:p w:rsidR="003B414A" w:rsidRPr="00832F53" w:rsidRDefault="003B414A" w:rsidP="00832F53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GoBack"/>
      <w:bookmarkEnd w:id="0"/>
    </w:p>
    <w:p w:rsidR="00832F53" w:rsidRPr="00832F53" w:rsidRDefault="00832F53" w:rsidP="00832F53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</w:rPr>
      </w:pPr>
      <w:r w:rsidRPr="00832F53">
        <w:rPr>
          <w:rFonts w:ascii="Arial" w:eastAsia="Times New Roman" w:hAnsi="Arial" w:cs="Arial"/>
          <w:b/>
          <w:bCs/>
          <w:color w:val="0F1115"/>
          <w:sz w:val="33"/>
          <w:szCs w:val="33"/>
        </w:rPr>
        <w:lastRenderedPageBreak/>
        <w:t>Section 5: Call to Action</w:t>
      </w:r>
    </w:p>
    <w:p w:rsidR="00832F53" w:rsidRPr="00832F53" w:rsidRDefault="00832F53" w:rsidP="00832F53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832F53">
        <w:rPr>
          <w:rFonts w:ascii="Arial" w:eastAsia="Times New Roman" w:hAnsi="Arial" w:cs="Arial"/>
          <w:b/>
          <w:bCs/>
          <w:color w:val="0F1115"/>
          <w:sz w:val="30"/>
          <w:szCs w:val="30"/>
        </w:rPr>
        <w:t>Secure Your Digital Trajectory</w:t>
      </w:r>
    </w:p>
    <w:p w:rsidR="00832F53" w:rsidRPr="00832F53" w:rsidRDefault="00832F53" w:rsidP="00832F53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</w:rPr>
      </w:pPr>
      <w:r w:rsidRPr="00832F53">
        <w:rPr>
          <w:rFonts w:ascii="Arial" w:eastAsia="Times New Roman" w:hAnsi="Arial" w:cs="Arial"/>
          <w:color w:val="0F1115"/>
          <w:sz w:val="24"/>
          <w:szCs w:val="24"/>
        </w:rPr>
        <w:t>Whether you require an urgent SAMA compliance audit or a complete Zero Trust architecture overhaul, Flowtech is your local partner in resilience.</w:t>
      </w:r>
    </w:p>
    <w:p w:rsidR="00832F53" w:rsidRPr="00832F53" w:rsidRDefault="00832F53" w:rsidP="00832F53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</w:rPr>
      </w:pP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Contact us</w:t>
      </w:r>
      <w:r w:rsidRPr="003B414A">
        <w:rPr>
          <w:rFonts w:ascii="Arial" w:eastAsia="Times New Roman" w:hAnsi="Arial" w:cs="Arial"/>
          <w:color w:val="0F1115"/>
          <w:sz w:val="24"/>
          <w:szCs w:val="24"/>
        </w:rPr>
        <w:t> for any cybersecurty requirements and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 xml:space="preserve"> compliance gap assessment.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3B414A">
        <w:rPr>
          <w:rFonts w:ascii="Arial" w:eastAsia="Times New Roman" w:hAnsi="Arial" w:cs="Arial"/>
          <w:b/>
          <w:bCs/>
          <w:color w:val="0F1115"/>
          <w:sz w:val="24"/>
          <w:szCs w:val="24"/>
        </w:rPr>
        <w:t>Email: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t> </w:t>
      </w:r>
      <w:r w:rsidRPr="003B414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hyperlink r:id="rId5" w:history="1">
        <w:r w:rsidRPr="003B414A">
          <w:rPr>
            <w:rStyle w:val="Hyperlink"/>
            <w:rFonts w:ascii="Arial" w:eastAsia="Times New Roman" w:hAnsi="Arial" w:cs="Arial"/>
            <w:sz w:val="24"/>
            <w:szCs w:val="24"/>
          </w:rPr>
          <w:t>********@flowtechdigitalservices.com</w:t>
        </w:r>
      </w:hyperlink>
      <w:r w:rsidRPr="003B414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832F53">
        <w:rPr>
          <w:rFonts w:ascii="Arial" w:eastAsia="Times New Roman" w:hAnsi="Arial" w:cs="Arial"/>
          <w:color w:val="0F1115"/>
          <w:sz w:val="24"/>
          <w:szCs w:val="24"/>
        </w:rPr>
        <w:br/>
      </w:r>
    </w:p>
    <w:p w:rsidR="00832F53" w:rsidRPr="00832F53" w:rsidRDefault="00832F53" w:rsidP="00832F53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</w:p>
    <w:p w:rsidR="005B53FE" w:rsidRPr="003B414A" w:rsidRDefault="005B53FE">
      <w:pPr>
        <w:rPr>
          <w:rFonts w:ascii="Arial" w:hAnsi="Arial" w:cs="Arial"/>
        </w:rPr>
      </w:pPr>
    </w:p>
    <w:sectPr w:rsidR="005B53FE" w:rsidRPr="003B4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018DE"/>
    <w:multiLevelType w:val="multilevel"/>
    <w:tmpl w:val="479E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90F11"/>
    <w:multiLevelType w:val="multilevel"/>
    <w:tmpl w:val="47CA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B35DE"/>
    <w:multiLevelType w:val="multilevel"/>
    <w:tmpl w:val="6B98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57190"/>
    <w:multiLevelType w:val="multilevel"/>
    <w:tmpl w:val="E730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949A4"/>
    <w:multiLevelType w:val="multilevel"/>
    <w:tmpl w:val="AD22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84C94"/>
    <w:multiLevelType w:val="multilevel"/>
    <w:tmpl w:val="F92C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109CC"/>
    <w:multiLevelType w:val="multilevel"/>
    <w:tmpl w:val="F55E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95911"/>
    <w:multiLevelType w:val="multilevel"/>
    <w:tmpl w:val="678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66B0A"/>
    <w:multiLevelType w:val="multilevel"/>
    <w:tmpl w:val="7A62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758F3"/>
    <w:multiLevelType w:val="multilevel"/>
    <w:tmpl w:val="408C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36332"/>
    <w:multiLevelType w:val="multilevel"/>
    <w:tmpl w:val="917E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466DC"/>
    <w:multiLevelType w:val="multilevel"/>
    <w:tmpl w:val="C724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35264"/>
    <w:multiLevelType w:val="multilevel"/>
    <w:tmpl w:val="FD5A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45015"/>
    <w:multiLevelType w:val="multilevel"/>
    <w:tmpl w:val="13A2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12AE5"/>
    <w:multiLevelType w:val="multilevel"/>
    <w:tmpl w:val="983E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B060D"/>
    <w:multiLevelType w:val="multilevel"/>
    <w:tmpl w:val="BEB6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9351AE"/>
    <w:multiLevelType w:val="multilevel"/>
    <w:tmpl w:val="A070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E0175"/>
    <w:multiLevelType w:val="multilevel"/>
    <w:tmpl w:val="26C8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16879"/>
    <w:multiLevelType w:val="multilevel"/>
    <w:tmpl w:val="5430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A13EB"/>
    <w:multiLevelType w:val="multilevel"/>
    <w:tmpl w:val="B780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947888"/>
    <w:multiLevelType w:val="multilevel"/>
    <w:tmpl w:val="BDBE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"/>
  </w:num>
  <w:num w:numId="3">
    <w:abstractNumId w:val="5"/>
  </w:num>
  <w:num w:numId="4">
    <w:abstractNumId w:val="10"/>
  </w:num>
  <w:num w:numId="5">
    <w:abstractNumId w:val="16"/>
  </w:num>
  <w:num w:numId="6">
    <w:abstractNumId w:val="19"/>
  </w:num>
  <w:num w:numId="7">
    <w:abstractNumId w:val="11"/>
  </w:num>
  <w:num w:numId="8">
    <w:abstractNumId w:val="4"/>
  </w:num>
  <w:num w:numId="9">
    <w:abstractNumId w:val="3"/>
  </w:num>
  <w:num w:numId="10">
    <w:abstractNumId w:val="17"/>
  </w:num>
  <w:num w:numId="11">
    <w:abstractNumId w:val="13"/>
  </w:num>
  <w:num w:numId="12">
    <w:abstractNumId w:val="6"/>
  </w:num>
  <w:num w:numId="13">
    <w:abstractNumId w:val="12"/>
  </w:num>
  <w:num w:numId="14">
    <w:abstractNumId w:val="18"/>
  </w:num>
  <w:num w:numId="15">
    <w:abstractNumId w:val="14"/>
  </w:num>
  <w:num w:numId="16">
    <w:abstractNumId w:val="0"/>
  </w:num>
  <w:num w:numId="17">
    <w:abstractNumId w:val="1"/>
  </w:num>
  <w:num w:numId="18">
    <w:abstractNumId w:val="15"/>
  </w:num>
  <w:num w:numId="19">
    <w:abstractNumId w:val="7"/>
  </w:num>
  <w:num w:numId="20">
    <w:abstractNumId w:val="9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F53"/>
    <w:rsid w:val="003B414A"/>
    <w:rsid w:val="005B53FE"/>
    <w:rsid w:val="0083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575EB"/>
  <w15:chartTrackingRefBased/>
  <w15:docId w15:val="{DEB7C80D-40C1-4CEC-BB49-613BAF5EC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2F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32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32F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F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F5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32F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32F5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832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2F53"/>
    <w:rPr>
      <w:b/>
      <w:bCs/>
    </w:rPr>
  </w:style>
  <w:style w:type="character" w:styleId="Emphasis">
    <w:name w:val="Emphasis"/>
    <w:basedOn w:val="DefaultParagraphFont"/>
    <w:uiPriority w:val="20"/>
    <w:qFormat/>
    <w:rsid w:val="00832F53"/>
    <w:rPr>
      <w:i/>
      <w:iCs/>
    </w:rPr>
  </w:style>
  <w:style w:type="character" w:styleId="Hyperlink">
    <w:name w:val="Hyperlink"/>
    <w:basedOn w:val="DefaultParagraphFont"/>
    <w:uiPriority w:val="99"/>
    <w:unhideWhenUsed/>
    <w:rsid w:val="00832F53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F53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5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12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711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281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571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********@flowtechdigitalservice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1615</Words>
  <Characters>9211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 Ahmed</dc:creator>
  <cp:keywords/>
  <dc:description/>
  <cp:lastModifiedBy>Yousuf Ahmed</cp:lastModifiedBy>
  <cp:revision>1</cp:revision>
  <dcterms:created xsi:type="dcterms:W3CDTF">2026-06-11T10:38:00Z</dcterms:created>
  <dcterms:modified xsi:type="dcterms:W3CDTF">2026-06-11T10:56:00Z</dcterms:modified>
</cp:coreProperties>
</file>