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6F6AE" w14:textId="206FB586" w:rsidR="001F1F1B" w:rsidRDefault="00000000" w:rsidP="002C1554">
      <w:pPr>
        <w:spacing w:after="0"/>
        <w:jc w:val="center"/>
      </w:pPr>
      <w:r w:rsidRPr="006826CC">
        <w:rPr>
          <w:b/>
          <w:sz w:val="28"/>
          <w:szCs w:val="16"/>
        </w:rPr>
        <w:t>A/B Test Experimental Thesis Report</w:t>
      </w:r>
      <w:r w:rsidRPr="006826CC">
        <w:rPr>
          <w:b/>
          <w:sz w:val="28"/>
          <w:szCs w:val="16"/>
        </w:rPr>
        <w:br/>
        <w:t>Impact of Navigation Layout Redesign on Monetization Performance</w:t>
      </w:r>
      <w:r>
        <w:rPr>
          <w:b/>
          <w:sz w:val="40"/>
        </w:rPr>
        <w:br/>
      </w:r>
      <w:r w:rsidR="002C1554" w:rsidRPr="006826CC">
        <w:rPr>
          <w:b/>
          <w:szCs w:val="14"/>
        </w:rPr>
        <w:t>A</w:t>
      </w:r>
      <w:r w:rsidRPr="006826CC">
        <w:rPr>
          <w:b/>
          <w:szCs w:val="14"/>
        </w:rPr>
        <w:t xml:space="preserve">uthor: </w:t>
      </w:r>
      <w:r w:rsidR="00611A46" w:rsidRPr="006826CC">
        <w:rPr>
          <w:b/>
          <w:szCs w:val="14"/>
        </w:rPr>
        <w:t>Muhammad Abdul Lathief</w:t>
      </w:r>
    </w:p>
    <w:p w14:paraId="2FA2382B" w14:textId="77777777" w:rsidR="001F1F1B" w:rsidRDefault="00000000" w:rsidP="002C1554">
      <w:pPr>
        <w:pStyle w:val="Heading1"/>
      </w:pPr>
      <w:r>
        <w:t>Abstract</w:t>
      </w:r>
    </w:p>
    <w:p w14:paraId="7D51A3FB" w14:textId="77777777" w:rsidR="001F1F1B" w:rsidRDefault="00000000" w:rsidP="002C1554">
      <w:pPr>
        <w:spacing w:after="0"/>
        <w:jc w:val="both"/>
      </w:pPr>
      <w:r>
        <w:t>This research evaluates the causal impact of a navigation layout redesign within an e-commerce platform using a randomized controlled A/B experimentation framework. The experiment investigates whether transitioning from a horizontal navigation menu to a vertical layout improves user engagement and monetization outcomes. Validation procedures confirm balanced experimental allocation and unbiased sampling across treatment groups. Statistical analysis reveals that although conversion rates remain unchanged, the treatment variant significantly reduces revenue per user. These results indicate that structural interface changes can introduce monetization friction even when engagement metrics remain stable. Based on statistical inference and projected business impact, deployment of the vertical layout is not recommended.</w:t>
      </w:r>
    </w:p>
    <w:p w14:paraId="400CD6A2" w14:textId="77777777" w:rsidR="001F1F1B" w:rsidRDefault="00000000" w:rsidP="002C1554">
      <w:pPr>
        <w:pStyle w:val="Heading1"/>
      </w:pPr>
      <w:r>
        <w:t>Chapter I — Introduction</w:t>
      </w:r>
    </w:p>
    <w:p w14:paraId="4792E7D5" w14:textId="77777777" w:rsidR="001F1F1B" w:rsidRDefault="00000000" w:rsidP="002C1554">
      <w:pPr>
        <w:spacing w:after="0"/>
      </w:pPr>
      <w:r>
        <w:t>1.1 Background</w:t>
      </w:r>
    </w:p>
    <w:p w14:paraId="69D4AE31" w14:textId="77777777" w:rsidR="001F1F1B" w:rsidRDefault="00000000" w:rsidP="002C1554">
      <w:pPr>
        <w:spacing w:after="0"/>
        <w:jc w:val="both"/>
      </w:pPr>
      <w:r>
        <w:t>Continuous experimentation is essential in digital product development to ensure that interface changes improve both user experience and business performance. Navigation menus strongly influence user browsing behavior, product discoverability, and purchase decisions. Although vertical navigation designs are often perceived as modern and space-efficient, their behavioral impact must be empirically validated before large-scale deployment.</w:t>
      </w:r>
    </w:p>
    <w:p w14:paraId="58715917" w14:textId="77777777" w:rsidR="006826CC" w:rsidRDefault="006826CC" w:rsidP="002C1554">
      <w:pPr>
        <w:spacing w:after="0"/>
        <w:jc w:val="both"/>
      </w:pPr>
    </w:p>
    <w:p w14:paraId="1F2B8982" w14:textId="77777777" w:rsidR="001F1F1B" w:rsidRDefault="00000000" w:rsidP="002C1554">
      <w:pPr>
        <w:spacing w:after="0"/>
      </w:pPr>
      <w:r>
        <w:t>1.2 Research Objective</w:t>
      </w:r>
    </w:p>
    <w:p w14:paraId="644715CB" w14:textId="77777777" w:rsidR="001F1F1B" w:rsidRDefault="00000000" w:rsidP="002C1554">
      <w:pPr>
        <w:spacing w:after="0"/>
        <w:jc w:val="both"/>
      </w:pPr>
      <w:r>
        <w:t>This study aims to estimate the causal effect of replacing the horizontal navigation layout with a vertical design on key performance indicators, particularly conversion rate and revenue per user.</w:t>
      </w:r>
    </w:p>
    <w:p w14:paraId="1E1E4AEE" w14:textId="77777777" w:rsidR="006826CC" w:rsidRDefault="006826CC" w:rsidP="002C1554">
      <w:pPr>
        <w:spacing w:after="0"/>
        <w:jc w:val="both"/>
      </w:pPr>
    </w:p>
    <w:p w14:paraId="161BF739" w14:textId="77777777" w:rsidR="001F1F1B" w:rsidRDefault="00000000" w:rsidP="002C1554">
      <w:pPr>
        <w:spacing w:after="0"/>
      </w:pPr>
      <w:r>
        <w:lastRenderedPageBreak/>
        <w:t>1.3 Research Questions</w:t>
      </w:r>
    </w:p>
    <w:p w14:paraId="49E7FD74" w14:textId="77777777" w:rsidR="001F1F1B" w:rsidRDefault="00000000" w:rsidP="002C1554">
      <w:pPr>
        <w:spacing w:after="0"/>
        <w:jc w:val="both"/>
      </w:pPr>
      <w:r>
        <w:t>Does the vertical navigation layout improve conversion performance?</w:t>
      </w:r>
    </w:p>
    <w:p w14:paraId="63F32A5F" w14:textId="77777777" w:rsidR="001F1F1B" w:rsidRDefault="00000000" w:rsidP="002C1554">
      <w:pPr>
        <w:spacing w:after="0"/>
        <w:jc w:val="both"/>
      </w:pPr>
      <w:r>
        <w:t>Does the redesign affect monetization efficiency measured through revenue per user?</w:t>
      </w:r>
    </w:p>
    <w:p w14:paraId="02AD798C" w14:textId="77777777" w:rsidR="001F1F1B" w:rsidRDefault="00000000" w:rsidP="002C1554">
      <w:pPr>
        <w:spacing w:after="0"/>
        <w:jc w:val="both"/>
      </w:pPr>
      <w:r>
        <w:t>Should the new layout be deployed based on statistical and business evaluation?</w:t>
      </w:r>
    </w:p>
    <w:p w14:paraId="541CAD13" w14:textId="77777777" w:rsidR="001F1F1B" w:rsidRDefault="00000000" w:rsidP="002C1554">
      <w:pPr>
        <w:pStyle w:val="Heading1"/>
      </w:pPr>
      <w:r>
        <w:t>Chapter II — Methodology</w:t>
      </w:r>
    </w:p>
    <w:p w14:paraId="6B289B1A" w14:textId="77777777" w:rsidR="001F1F1B" w:rsidRDefault="00000000" w:rsidP="002C1554">
      <w:pPr>
        <w:spacing w:after="0"/>
      </w:pPr>
      <w:r>
        <w:t>2.1 Experimental Design</w:t>
      </w:r>
    </w:p>
    <w:p w14:paraId="0FD32631" w14:textId="77777777" w:rsidR="001F1F1B" w:rsidRDefault="00000000" w:rsidP="002C1554">
      <w:pPr>
        <w:spacing w:after="0"/>
        <w:jc w:val="both"/>
      </w:pPr>
      <w:r>
        <w:t>A randomized controlled A/B test was implemented with equal allocation of users to control and treatment groups. Random assignment ensures independence between groups and enables unbiased estimation of treatment effects.</w:t>
      </w:r>
    </w:p>
    <w:p w14:paraId="52D2116E" w14:textId="77777777" w:rsidR="006826CC" w:rsidRDefault="006826CC" w:rsidP="002C1554">
      <w:pPr>
        <w:spacing w:after="0"/>
        <w:jc w:val="both"/>
      </w:pPr>
    </w:p>
    <w:p w14:paraId="326CCF16" w14:textId="77777777" w:rsidR="001F1F1B" w:rsidRDefault="00000000" w:rsidP="002C1554">
      <w:pPr>
        <w:spacing w:after="0"/>
      </w:pPr>
      <w:r>
        <w:t>2.2 Dataset Description</w:t>
      </w:r>
    </w:p>
    <w:p w14:paraId="13515C0E" w14:textId="77777777" w:rsidR="001F1F1B" w:rsidRDefault="00000000" w:rsidP="002C1554">
      <w:pPr>
        <w:spacing w:after="0"/>
      </w:pPr>
      <w:r>
        <w:t>The experiment includes 7,000 user sessions distributed equally across variants (3,500 sessions per group). The dataset contains:</w:t>
      </w:r>
    </w:p>
    <w:p w14:paraId="33454F7E" w14:textId="77777777" w:rsidR="001F1F1B" w:rsidRDefault="00000000" w:rsidP="002C1554">
      <w:pPr>
        <w:spacing w:after="0"/>
      </w:pPr>
      <w:r>
        <w:t>- Variant assignment (control or treatment)</w:t>
      </w:r>
      <w:r>
        <w:br/>
        <w:t>- Session-level revenue</w:t>
      </w:r>
      <w:r>
        <w:br/>
        <w:t>- Purchase indicator</w:t>
      </w:r>
      <w:r>
        <w:br/>
        <w:t>- User attributes used for validation checks</w:t>
      </w:r>
    </w:p>
    <w:p w14:paraId="7A8DF6C4" w14:textId="77777777" w:rsidR="006826CC" w:rsidRDefault="006826CC" w:rsidP="002C1554">
      <w:pPr>
        <w:spacing w:after="0"/>
      </w:pPr>
    </w:p>
    <w:p w14:paraId="0507566A" w14:textId="77777777" w:rsidR="001F1F1B" w:rsidRDefault="00000000" w:rsidP="002C1554">
      <w:pPr>
        <w:spacing w:after="0"/>
      </w:pPr>
      <w:r>
        <w:t>2.3 Experiment Validation</w:t>
      </w:r>
    </w:p>
    <w:p w14:paraId="058AD87C" w14:textId="77777777" w:rsidR="001F1F1B" w:rsidRDefault="00000000" w:rsidP="002C1554">
      <w:pPr>
        <w:spacing w:after="0"/>
      </w:pPr>
      <w:r>
        <w:t>Experiment validity was verified through:</w:t>
      </w:r>
    </w:p>
    <w:p w14:paraId="3A9FB476" w14:textId="77777777" w:rsidR="001F1F1B" w:rsidRDefault="00000000" w:rsidP="002C1554">
      <w:pPr>
        <w:spacing w:after="0"/>
      </w:pPr>
      <w:r>
        <w:t>- Sample Ratio Mismatch (SRM) testing</w:t>
      </w:r>
      <w:r>
        <w:br/>
        <w:t>- Covariate balance verification across device type, browser, and region</w:t>
      </w:r>
      <w:r>
        <w:br/>
        <w:t>- Temporal stability checks</w:t>
      </w:r>
    </w:p>
    <w:p w14:paraId="1BDADB2D" w14:textId="77777777" w:rsidR="001F1F1B" w:rsidRDefault="00000000" w:rsidP="002C1554">
      <w:pPr>
        <w:spacing w:after="0"/>
      </w:pPr>
      <w:r>
        <w:t>All validation tests confirmed that the experiment met the assumptions required for reliable causal inference.</w:t>
      </w:r>
    </w:p>
    <w:p w14:paraId="62370924" w14:textId="77777777" w:rsidR="006826CC" w:rsidRDefault="006826CC" w:rsidP="002C1554">
      <w:pPr>
        <w:spacing w:after="0"/>
      </w:pPr>
    </w:p>
    <w:p w14:paraId="36170BB0" w14:textId="77777777" w:rsidR="001F1F1B" w:rsidRDefault="00000000" w:rsidP="002C1554">
      <w:pPr>
        <w:spacing w:after="0"/>
      </w:pPr>
      <w:r>
        <w:t>2.4 Statistical Analysis</w:t>
      </w:r>
    </w:p>
    <w:p w14:paraId="2D283D93" w14:textId="77777777" w:rsidR="001F1F1B" w:rsidRDefault="00000000" w:rsidP="002C1554">
      <w:pPr>
        <w:spacing w:after="0"/>
      </w:pPr>
      <w:r>
        <w:t>Metric-specific statistical methods were applied:</w:t>
      </w:r>
    </w:p>
    <w:p w14:paraId="7BCEF3AF" w14:textId="77777777" w:rsidR="001F1F1B" w:rsidRDefault="00000000" w:rsidP="002C1554">
      <w:pPr>
        <w:spacing w:after="0"/>
      </w:pPr>
      <w:r>
        <w:lastRenderedPageBreak/>
        <w:t>- Conversion Rate: Two-sample proportion test</w:t>
      </w:r>
      <w:r>
        <w:br/>
        <w:t>- Revenue per User: Mann-Whitney U non-parametric test</w:t>
      </w:r>
    </w:p>
    <w:p w14:paraId="4D67851F" w14:textId="77777777" w:rsidR="001F1F1B" w:rsidRDefault="00000000" w:rsidP="002C1554">
      <w:pPr>
        <w:spacing w:after="0"/>
      </w:pPr>
      <w:r>
        <w:t>Hypothesis testing was conducted at a 95% confidence level with Holm correction applied to control for multiple testing.</w:t>
      </w:r>
    </w:p>
    <w:p w14:paraId="176ADC8B" w14:textId="77777777" w:rsidR="001F1F1B" w:rsidRDefault="00000000" w:rsidP="002C1554">
      <w:pPr>
        <w:pStyle w:val="Heading1"/>
      </w:pPr>
      <w:r>
        <w:t>Chapter III — Results</w:t>
      </w:r>
    </w:p>
    <w:p w14:paraId="799B71A5" w14:textId="77777777" w:rsidR="001F1F1B" w:rsidRDefault="00000000" w:rsidP="002C1554">
      <w:pPr>
        <w:spacing w:after="0"/>
      </w:pPr>
      <w:r>
        <w:t>3.1 Experimental Outcomes</w:t>
      </w:r>
    </w:p>
    <w:p w14:paraId="5B63CD23" w14:textId="77777777" w:rsidR="001F1F1B" w:rsidRDefault="00000000" w:rsidP="002C1554">
      <w:pPr>
        <w:pStyle w:val="Heading1"/>
      </w:pPr>
      <w:r>
        <w:t>Chapter IV — Discussion</w:t>
      </w:r>
    </w:p>
    <w:p w14:paraId="1EC19DD8" w14:textId="77777777" w:rsidR="001F1F1B" w:rsidRDefault="00000000" w:rsidP="002C1554">
      <w:pPr>
        <w:spacing w:after="0"/>
        <w:jc w:val="both"/>
      </w:pPr>
      <w:r>
        <w:t>The findings highlight the importance of evaluating both engagement and monetization metrics during experimentation. Interface redesigns that appear neutral when assessed using conversion metrics may still introduce significant economic impact through reduced spending behavior. The vertical layout likely alters browsing flow or product visibility, creating friction within the purchase funnel.</w:t>
      </w:r>
    </w:p>
    <w:p w14:paraId="04D1310D" w14:textId="77777777" w:rsidR="001F1F1B" w:rsidRDefault="00000000" w:rsidP="002C1554">
      <w:pPr>
        <w:spacing w:after="0"/>
        <w:jc w:val="both"/>
      </w:pPr>
      <w:r>
        <w:t>Negative experimental outcomes are critical in experimentation programs because they prevent large-scale deployments that could significantly reduce business performance.</w:t>
      </w:r>
    </w:p>
    <w:p w14:paraId="6853816F" w14:textId="77777777" w:rsidR="001F1F1B" w:rsidRDefault="00000000" w:rsidP="002C1554">
      <w:pPr>
        <w:pStyle w:val="Heading1"/>
      </w:pPr>
      <w:r>
        <w:t>Chapter V — Business Impact Assessment</w:t>
      </w:r>
    </w:p>
    <w:p w14:paraId="669964A0" w14:textId="77777777" w:rsidR="001F1F1B" w:rsidRDefault="00000000" w:rsidP="002C1554">
      <w:pPr>
        <w:spacing w:after="0"/>
        <w:jc w:val="both"/>
      </w:pPr>
      <w:r>
        <w:t>Based on experimental estimates, full deployment of the vertical layout would likely result in an approximate 9% decline in platform-level revenue. Given the magnitude of the effect and strong statistical evidence, deployment risk significantly outweighs any perceived usability benefits.</w:t>
      </w:r>
    </w:p>
    <w:p w14:paraId="25B63E25" w14:textId="77777777" w:rsidR="001F1F1B" w:rsidRDefault="00000000" w:rsidP="002C1554">
      <w:pPr>
        <w:pStyle w:val="Heading1"/>
      </w:pPr>
      <w:r>
        <w:t>Chapter VI — Conclusion</w:t>
      </w:r>
    </w:p>
    <w:p w14:paraId="5B7ADA1F" w14:textId="77777777" w:rsidR="001F1F1B" w:rsidRDefault="00000000" w:rsidP="002C1554">
      <w:pPr>
        <w:spacing w:after="0"/>
        <w:jc w:val="both"/>
      </w:pPr>
      <w:r>
        <w:t xml:space="preserve">This study demonstrates that the vertical navigation layout introduces a statistically and practically significant decline in monetization performance while leaving conversion rates unchanged. Based on rigorous experimental evidence, the treatment variant should not be deployed. Future experimentation should focus on hybrid navigation structures or </w:t>
      </w:r>
      <w:r>
        <w:lastRenderedPageBreak/>
        <w:t>incremental design improvements that preserve intuitive browsing behavior while enhancing product discoverability.</w:t>
      </w:r>
    </w:p>
    <w:p w14:paraId="130EB872" w14:textId="77777777" w:rsidR="001F1F1B" w:rsidRDefault="00000000" w:rsidP="002C1554">
      <w:pPr>
        <w:pStyle w:val="Heading2"/>
      </w:pPr>
      <w:r>
        <w:t>Table 1. Experimental Results</w:t>
      </w:r>
    </w:p>
    <w:tbl>
      <w:tblPr>
        <w:tblStyle w:val="GridTable4"/>
        <w:tblW w:w="0" w:type="auto"/>
        <w:tblLook w:val="04A0" w:firstRow="1" w:lastRow="0" w:firstColumn="1" w:lastColumn="0" w:noHBand="0" w:noVBand="1"/>
      </w:tblPr>
      <w:tblGrid>
        <w:gridCol w:w="1560"/>
        <w:gridCol w:w="1560"/>
        <w:gridCol w:w="1560"/>
        <w:gridCol w:w="1560"/>
        <w:gridCol w:w="1560"/>
        <w:gridCol w:w="1560"/>
      </w:tblGrid>
      <w:tr w:rsidR="001F1F1B" w14:paraId="0502FB70" w14:textId="77777777" w:rsidTr="00611A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6C6B772" w14:textId="77777777" w:rsidR="001F1F1B" w:rsidRDefault="00000000" w:rsidP="002C1554">
            <w:r>
              <w:t>Metric</w:t>
            </w:r>
          </w:p>
        </w:tc>
        <w:tc>
          <w:tcPr>
            <w:tcW w:w="1560" w:type="dxa"/>
          </w:tcPr>
          <w:p w14:paraId="00785594" w14:textId="77777777" w:rsidR="001F1F1B" w:rsidRDefault="00000000" w:rsidP="002C1554">
            <w:pPr>
              <w:cnfStyle w:val="100000000000" w:firstRow="1" w:lastRow="0" w:firstColumn="0" w:lastColumn="0" w:oddVBand="0" w:evenVBand="0" w:oddHBand="0" w:evenHBand="0" w:firstRowFirstColumn="0" w:firstRowLastColumn="0" w:lastRowFirstColumn="0" w:lastRowLastColumn="0"/>
            </w:pPr>
            <w:r>
              <w:t>Control</w:t>
            </w:r>
          </w:p>
        </w:tc>
        <w:tc>
          <w:tcPr>
            <w:tcW w:w="1560" w:type="dxa"/>
          </w:tcPr>
          <w:p w14:paraId="2377B4FB" w14:textId="77777777" w:rsidR="001F1F1B" w:rsidRDefault="00000000" w:rsidP="002C1554">
            <w:pPr>
              <w:cnfStyle w:val="100000000000" w:firstRow="1" w:lastRow="0" w:firstColumn="0" w:lastColumn="0" w:oddVBand="0" w:evenVBand="0" w:oddHBand="0" w:evenHBand="0" w:firstRowFirstColumn="0" w:firstRowLastColumn="0" w:lastRowFirstColumn="0" w:lastRowLastColumn="0"/>
            </w:pPr>
            <w:r>
              <w:t>Treatment</w:t>
            </w:r>
          </w:p>
        </w:tc>
        <w:tc>
          <w:tcPr>
            <w:tcW w:w="1560" w:type="dxa"/>
          </w:tcPr>
          <w:p w14:paraId="4266CD16" w14:textId="77777777" w:rsidR="001F1F1B" w:rsidRDefault="00000000" w:rsidP="002C1554">
            <w:pPr>
              <w:cnfStyle w:val="100000000000" w:firstRow="1" w:lastRow="0" w:firstColumn="0" w:lastColumn="0" w:oddVBand="0" w:evenVBand="0" w:oddHBand="0" w:evenHBand="0" w:firstRowFirstColumn="0" w:firstRowLastColumn="0" w:lastRowFirstColumn="0" w:lastRowLastColumn="0"/>
            </w:pPr>
            <w:r>
              <w:t>p-value</w:t>
            </w:r>
          </w:p>
        </w:tc>
        <w:tc>
          <w:tcPr>
            <w:tcW w:w="1560" w:type="dxa"/>
          </w:tcPr>
          <w:p w14:paraId="7CD6AA67" w14:textId="77777777" w:rsidR="001F1F1B" w:rsidRDefault="00000000" w:rsidP="002C1554">
            <w:pPr>
              <w:cnfStyle w:val="100000000000" w:firstRow="1" w:lastRow="0" w:firstColumn="0" w:lastColumn="0" w:oddVBand="0" w:evenVBand="0" w:oddHBand="0" w:evenHBand="0" w:firstRowFirstColumn="0" w:firstRowLastColumn="0" w:lastRowFirstColumn="0" w:lastRowLastColumn="0"/>
            </w:pPr>
            <w:r>
              <w:t>Relative Lift</w:t>
            </w:r>
          </w:p>
        </w:tc>
        <w:tc>
          <w:tcPr>
            <w:tcW w:w="1560" w:type="dxa"/>
          </w:tcPr>
          <w:p w14:paraId="52543F08" w14:textId="77777777" w:rsidR="001F1F1B" w:rsidRDefault="00000000" w:rsidP="002C1554">
            <w:pPr>
              <w:cnfStyle w:val="100000000000" w:firstRow="1" w:lastRow="0" w:firstColumn="0" w:lastColumn="0" w:oddVBand="0" w:evenVBand="0" w:oddHBand="0" w:evenHBand="0" w:firstRowFirstColumn="0" w:firstRowLastColumn="0" w:lastRowFirstColumn="0" w:lastRowLastColumn="0"/>
            </w:pPr>
            <w:r>
              <w:t>Significant</w:t>
            </w:r>
          </w:p>
        </w:tc>
      </w:tr>
      <w:tr w:rsidR="001F1F1B" w14:paraId="5F372914" w14:textId="77777777" w:rsidTr="00611A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E74AFE2" w14:textId="77777777" w:rsidR="001F1F1B" w:rsidRDefault="00000000" w:rsidP="002C1554">
            <w:r>
              <w:t>Conversion Rate</w:t>
            </w:r>
          </w:p>
        </w:tc>
        <w:tc>
          <w:tcPr>
            <w:tcW w:w="1560" w:type="dxa"/>
          </w:tcPr>
          <w:p w14:paraId="3D8C53C8" w14:textId="77777777" w:rsidR="001F1F1B" w:rsidRDefault="00000000" w:rsidP="002C1554">
            <w:pPr>
              <w:cnfStyle w:val="000000100000" w:firstRow="0" w:lastRow="0" w:firstColumn="0" w:lastColumn="0" w:oddVBand="0" w:evenVBand="0" w:oddHBand="1" w:evenHBand="0" w:firstRowFirstColumn="0" w:firstRowLastColumn="0" w:lastRowFirstColumn="0" w:lastRowLastColumn="0"/>
            </w:pPr>
            <w:r>
              <w:t>100%</w:t>
            </w:r>
          </w:p>
        </w:tc>
        <w:tc>
          <w:tcPr>
            <w:tcW w:w="1560" w:type="dxa"/>
          </w:tcPr>
          <w:p w14:paraId="4B7701F6" w14:textId="77777777" w:rsidR="001F1F1B" w:rsidRDefault="00000000" w:rsidP="002C1554">
            <w:pPr>
              <w:cnfStyle w:val="000000100000" w:firstRow="0" w:lastRow="0" w:firstColumn="0" w:lastColumn="0" w:oddVBand="0" w:evenVBand="0" w:oddHBand="1" w:evenHBand="0" w:firstRowFirstColumn="0" w:firstRowLastColumn="0" w:lastRowFirstColumn="0" w:lastRowLastColumn="0"/>
            </w:pPr>
            <w:r>
              <w:t>100%</w:t>
            </w:r>
          </w:p>
        </w:tc>
        <w:tc>
          <w:tcPr>
            <w:tcW w:w="1560" w:type="dxa"/>
          </w:tcPr>
          <w:p w14:paraId="2F932032" w14:textId="77777777" w:rsidR="001F1F1B" w:rsidRDefault="00000000" w:rsidP="002C1554">
            <w:pPr>
              <w:cnfStyle w:val="000000100000" w:firstRow="0" w:lastRow="0" w:firstColumn="0" w:lastColumn="0" w:oddVBand="0" w:evenVBand="0" w:oddHBand="1" w:evenHBand="0" w:firstRowFirstColumn="0" w:firstRowLastColumn="0" w:lastRowFirstColumn="0" w:lastRowLastColumn="0"/>
            </w:pPr>
            <w:r>
              <w:t>1.000</w:t>
            </w:r>
          </w:p>
        </w:tc>
        <w:tc>
          <w:tcPr>
            <w:tcW w:w="1560" w:type="dxa"/>
          </w:tcPr>
          <w:p w14:paraId="3A46F23C" w14:textId="77777777" w:rsidR="001F1F1B" w:rsidRDefault="00000000" w:rsidP="002C1554">
            <w:pPr>
              <w:cnfStyle w:val="000000100000" w:firstRow="0" w:lastRow="0" w:firstColumn="0" w:lastColumn="0" w:oddVBand="0" w:evenVBand="0" w:oddHBand="1" w:evenHBand="0" w:firstRowFirstColumn="0" w:firstRowLastColumn="0" w:lastRowFirstColumn="0" w:lastRowLastColumn="0"/>
            </w:pPr>
            <w:r>
              <w:t>0.0%</w:t>
            </w:r>
          </w:p>
        </w:tc>
        <w:tc>
          <w:tcPr>
            <w:tcW w:w="1560" w:type="dxa"/>
          </w:tcPr>
          <w:p w14:paraId="4EC7B9FE" w14:textId="77777777" w:rsidR="001F1F1B" w:rsidRDefault="00000000" w:rsidP="002C1554">
            <w:pPr>
              <w:cnfStyle w:val="000000100000" w:firstRow="0" w:lastRow="0" w:firstColumn="0" w:lastColumn="0" w:oddVBand="0" w:evenVBand="0" w:oddHBand="1" w:evenHBand="0" w:firstRowFirstColumn="0" w:firstRowLastColumn="0" w:lastRowFirstColumn="0" w:lastRowLastColumn="0"/>
            </w:pPr>
            <w:r>
              <w:t>No</w:t>
            </w:r>
          </w:p>
        </w:tc>
      </w:tr>
      <w:tr w:rsidR="001F1F1B" w14:paraId="5EB4848E" w14:textId="77777777" w:rsidTr="00611A46">
        <w:tc>
          <w:tcPr>
            <w:cnfStyle w:val="001000000000" w:firstRow="0" w:lastRow="0" w:firstColumn="1" w:lastColumn="0" w:oddVBand="0" w:evenVBand="0" w:oddHBand="0" w:evenHBand="0" w:firstRowFirstColumn="0" w:firstRowLastColumn="0" w:lastRowFirstColumn="0" w:lastRowLastColumn="0"/>
            <w:tcW w:w="1560" w:type="dxa"/>
          </w:tcPr>
          <w:p w14:paraId="622FBC01" w14:textId="77777777" w:rsidR="001F1F1B" w:rsidRDefault="00000000" w:rsidP="002C1554">
            <w:r>
              <w:t>Median Revenue per User</w:t>
            </w:r>
          </w:p>
        </w:tc>
        <w:tc>
          <w:tcPr>
            <w:tcW w:w="1560" w:type="dxa"/>
          </w:tcPr>
          <w:p w14:paraId="5C4C671A" w14:textId="77777777" w:rsidR="001F1F1B" w:rsidRDefault="00000000" w:rsidP="002C1554">
            <w:pPr>
              <w:cnfStyle w:val="000000000000" w:firstRow="0" w:lastRow="0" w:firstColumn="0" w:lastColumn="0" w:oddVBand="0" w:evenVBand="0" w:oddHBand="0" w:evenHBand="0" w:firstRowFirstColumn="0" w:firstRowLastColumn="0" w:lastRowFirstColumn="0" w:lastRowLastColumn="0"/>
            </w:pPr>
            <w:r>
              <w:t>2.86</w:t>
            </w:r>
          </w:p>
        </w:tc>
        <w:tc>
          <w:tcPr>
            <w:tcW w:w="1560" w:type="dxa"/>
          </w:tcPr>
          <w:p w14:paraId="7A1C2A22" w14:textId="77777777" w:rsidR="001F1F1B" w:rsidRDefault="00000000" w:rsidP="002C1554">
            <w:pPr>
              <w:cnfStyle w:val="000000000000" w:firstRow="0" w:lastRow="0" w:firstColumn="0" w:lastColumn="0" w:oddVBand="0" w:evenVBand="0" w:oddHBand="0" w:evenHBand="0" w:firstRowFirstColumn="0" w:firstRowLastColumn="0" w:lastRowFirstColumn="0" w:lastRowLastColumn="0"/>
            </w:pPr>
            <w:r>
              <w:t>2.60</w:t>
            </w:r>
          </w:p>
        </w:tc>
        <w:tc>
          <w:tcPr>
            <w:tcW w:w="1560" w:type="dxa"/>
          </w:tcPr>
          <w:p w14:paraId="25894474" w14:textId="77777777" w:rsidR="001F1F1B" w:rsidRDefault="00000000" w:rsidP="002C1554">
            <w:pPr>
              <w:cnfStyle w:val="000000000000" w:firstRow="0" w:lastRow="0" w:firstColumn="0" w:lastColumn="0" w:oddVBand="0" w:evenVBand="0" w:oddHBand="0" w:evenHBand="0" w:firstRowFirstColumn="0" w:firstRowLastColumn="0" w:lastRowFirstColumn="0" w:lastRowLastColumn="0"/>
            </w:pPr>
            <w:r>
              <w:t>2.38e-08</w:t>
            </w:r>
          </w:p>
        </w:tc>
        <w:tc>
          <w:tcPr>
            <w:tcW w:w="1560" w:type="dxa"/>
          </w:tcPr>
          <w:p w14:paraId="1E13D169" w14:textId="77777777" w:rsidR="001F1F1B" w:rsidRDefault="00000000" w:rsidP="002C1554">
            <w:pPr>
              <w:cnfStyle w:val="000000000000" w:firstRow="0" w:lastRow="0" w:firstColumn="0" w:lastColumn="0" w:oddVBand="0" w:evenVBand="0" w:oddHBand="0" w:evenHBand="0" w:firstRowFirstColumn="0" w:firstRowLastColumn="0" w:lastRowFirstColumn="0" w:lastRowLastColumn="0"/>
            </w:pPr>
            <w:r>
              <w:t>-9.1%</w:t>
            </w:r>
          </w:p>
        </w:tc>
        <w:tc>
          <w:tcPr>
            <w:tcW w:w="1560" w:type="dxa"/>
          </w:tcPr>
          <w:p w14:paraId="7955769E" w14:textId="77777777" w:rsidR="001F1F1B" w:rsidRDefault="00000000" w:rsidP="002C1554">
            <w:pPr>
              <w:cnfStyle w:val="000000000000" w:firstRow="0" w:lastRow="0" w:firstColumn="0" w:lastColumn="0" w:oddVBand="0" w:evenVBand="0" w:oddHBand="0" w:evenHBand="0" w:firstRowFirstColumn="0" w:firstRowLastColumn="0" w:lastRowFirstColumn="0" w:lastRowLastColumn="0"/>
            </w:pPr>
            <w:r>
              <w:t>Yes</w:t>
            </w:r>
          </w:p>
        </w:tc>
      </w:tr>
    </w:tbl>
    <w:p w14:paraId="4E4E30D9" w14:textId="77777777" w:rsidR="00920F8E" w:rsidRDefault="00920F8E" w:rsidP="002C1554">
      <w:pPr>
        <w:spacing w:after="0"/>
      </w:pPr>
    </w:p>
    <w:sectPr w:rsidR="00920F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319304">
    <w:abstractNumId w:val="8"/>
  </w:num>
  <w:num w:numId="2" w16cid:durableId="501818056">
    <w:abstractNumId w:val="6"/>
  </w:num>
  <w:num w:numId="3" w16cid:durableId="1603028533">
    <w:abstractNumId w:val="5"/>
  </w:num>
  <w:num w:numId="4" w16cid:durableId="730730908">
    <w:abstractNumId w:val="4"/>
  </w:num>
  <w:num w:numId="5" w16cid:durableId="1879660673">
    <w:abstractNumId w:val="7"/>
  </w:num>
  <w:num w:numId="6" w16cid:durableId="726105676">
    <w:abstractNumId w:val="3"/>
  </w:num>
  <w:num w:numId="7" w16cid:durableId="1452627625">
    <w:abstractNumId w:val="2"/>
  </w:num>
  <w:num w:numId="8" w16cid:durableId="860170196">
    <w:abstractNumId w:val="1"/>
  </w:num>
  <w:num w:numId="9" w16cid:durableId="315037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F1B"/>
    <w:rsid w:val="0029639D"/>
    <w:rsid w:val="002C1554"/>
    <w:rsid w:val="00326F90"/>
    <w:rsid w:val="00557DE8"/>
    <w:rsid w:val="00611A46"/>
    <w:rsid w:val="006826CC"/>
    <w:rsid w:val="00920F8E"/>
    <w:rsid w:val="00AA1D8D"/>
    <w:rsid w:val="00B47730"/>
    <w:rsid w:val="00CB0664"/>
    <w:rsid w:val="00FC693F"/>
    <w:rsid w:val="00FD19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690BE"/>
  <w14:defaultImageDpi w14:val="300"/>
  <w15:docId w15:val="{694ABDC9-E34C-49A8-87B4-3FF191D87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611A4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707</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Abdul Latief</cp:lastModifiedBy>
  <cp:revision>4</cp:revision>
  <dcterms:created xsi:type="dcterms:W3CDTF">2013-12-23T23:15:00Z</dcterms:created>
  <dcterms:modified xsi:type="dcterms:W3CDTF">2026-02-15T15:29:00Z</dcterms:modified>
  <cp:category/>
</cp:coreProperties>
</file>