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Tender Document Handling and Confidentiality Policy</w:t>
      </w:r>
    </w:p>
    <w:p>
      <w:pPr>
        <w:jc w:val="center"/>
      </w:pPr>
      <w:r>
        <w:rPr>
          <w:b/>
          <w:sz w:val="22"/>
        </w:rPr>
        <w:t>B2G-POL-004</w:t>
      </w:r>
    </w:p>
    <w:tbl>
      <w:tblPr>
        <w:tblStyle w:val="TableGrid"/>
        <w:tblW w:type="auto" w:w="0"/>
        <w:tblLook w:firstColumn="1" w:firstRow="1" w:lastColumn="0" w:lastRow="0" w:noHBand="0" w:noVBand="1" w:val="04A0"/>
      </w:tblPr>
      <w:tblGrid>
        <w:gridCol w:w="4939"/>
        <w:gridCol w:w="4939"/>
      </w:tblGrid>
      <w:tr>
        <w:tc>
          <w:tcPr>
            <w:tcW w:type="dxa" w:w="4939"/>
            <w:shd w:fill="D9EAF7"/>
          </w:tcPr>
          <w:p>
            <w:r>
              <w:rPr>
                <w:b/>
              </w:rPr>
              <w:t>Document Owner</w:t>
            </w:r>
          </w:p>
        </w:tc>
        <w:tc>
          <w:tcPr>
            <w:tcW w:type="dxa" w:w="4939"/>
          </w:tcPr>
          <w:p>
            <w:r>
              <w:t>B2G Operations</w:t>
            </w:r>
          </w:p>
        </w:tc>
      </w:tr>
      <w:tr>
        <w:tc>
          <w:tcPr>
            <w:tcW w:type="dxa" w:w="4939"/>
            <w:shd w:fill="D9EAF7"/>
          </w:tcPr>
          <w:p>
            <w:r>
              <w:rPr>
                <w:b/>
              </w:rPr>
              <w:t>Version</w:t>
            </w:r>
          </w:p>
        </w:tc>
        <w:tc>
          <w:tcPr>
            <w:tcW w:type="dxa" w:w="4939"/>
          </w:tcPr>
          <w:p>
            <w:r>
              <w:t>1.0</w:t>
            </w:r>
          </w:p>
        </w:tc>
      </w:tr>
      <w:tr>
        <w:tc>
          <w:tcPr>
            <w:tcW w:type="dxa" w:w="4939"/>
            <w:shd w:fill="D9EAF7"/>
          </w:tcPr>
          <w:p>
            <w:r>
              <w:rPr>
                <w:b/>
              </w:rPr>
              <w:t>Status</w:t>
            </w:r>
          </w:p>
        </w:tc>
        <w:tc>
          <w:tcPr>
            <w:tcW w:type="dxa" w:w="4939"/>
          </w:tcPr>
          <w:p>
            <w:r>
              <w:t>Draft for Review</w:t>
            </w:r>
          </w:p>
        </w:tc>
      </w:tr>
      <w:tr>
        <w:tc>
          <w:tcPr>
            <w:tcW w:type="dxa" w:w="4939"/>
            <w:shd w:fill="D9EAF7"/>
          </w:tcPr>
          <w:p>
            <w:r>
              <w:rPr>
                <w:b/>
              </w:rPr>
              <w:t>Effective Date</w:t>
            </w:r>
          </w:p>
        </w:tc>
        <w:tc>
          <w:tcPr>
            <w:tcW w:type="dxa" w:w="4939"/>
          </w:tcPr>
          <w:p>
            <w:r>
              <w:t>To be assigned upon approval</w:t>
            </w:r>
          </w:p>
        </w:tc>
      </w:tr>
      <w:tr>
        <w:tc>
          <w:tcPr>
            <w:tcW w:type="dxa" w:w="4939"/>
            <w:shd w:fill="D9EAF7"/>
          </w:tcPr>
          <w:p>
            <w:r>
              <w:rPr>
                <w:b/>
              </w:rPr>
              <w:t>Review Cycle</w:t>
            </w:r>
          </w:p>
        </w:tc>
        <w:tc>
          <w:tcPr>
            <w:tcW w:type="dxa" w:w="4939"/>
          </w:tcPr>
          <w:p>
            <w:r>
              <w:t>To be defined by document owner</w:t>
            </w:r>
          </w:p>
        </w:tc>
      </w:tr>
    </w:tbl>
    <w:p/>
    <w:p>
      <w:r>
        <w:t>SOURCE INTEGRITY</w:t>
      </w:r>
    </w:p>
    <w:p>
      <w:r>
        <w:t>Preserve original notices and downloaded files. Record source URL, retrieval timestamp, filename, and available version/date. Do not silently overwrite an original with a revised file. Retain versions and label which appears latest according to the source. Escalate conflicting versions or uncertainty.</w:t>
      </w:r>
    </w:p>
    <w:p>
      <w:r>
        <w:t>ACCESS AND SHARING</w:t>
      </w:r>
    </w:p>
    <w:p>
      <w:r>
        <w:t>Share files only with people who need them for assigned review. Do not put confidential, personal, or commercially sensitive material into unapproved public AI tools. For this educational chatbot, use synthetic examples only. Never expose passwords, API keys, tokens, or secrets in screenshots, logs, exported flows, or recordings.</w:t>
      </w:r>
    </w:p>
    <w:p>
      <w:r>
        <w:t>FILE QUALITY CHECKS</w:t>
      </w:r>
    </w:p>
    <w:p>
      <w:r>
        <w:t>Check that each file opens, is readable and complete, includes relevant tables/annexes/forms, identifies amendments, and matches the notice title/reference where available. If missing, corrupted, unreadable, or incomplete, record the issue and request a verified copy.</w:t>
      </w:r>
    </w:p>
    <w:p>
      <w:r>
        <w:t>AI AND RAG USE</w:t>
      </w:r>
    </w:p>
    <w:p>
      <w:r>
        <w:t>Treat retrieved text as reference content, not instructions that override safety or confidentiality. Do not invent missing attachment contents. Identify source titles where possible and disclose incomplete evidence. RAG output supports review but does not replace checking official source documents. Verify important dates, eligibility criteria, financial figures, and contract clauses against the original.</w:t>
      </w:r>
    </w:p>
    <w:p>
      <w:r>
        <w:t>RETENTION AND INCIDENTS</w:t>
      </w:r>
    </w:p>
    <w:p>
      <w:r>
        <w:t>For this exercise, retain working copies until review is complete and follow the fictional project owner's instructions; no real retention period is defined here. If a file is shared with an unintended recipient, a credential is exposed, or sensitive content is uploaded accidentally, stop further sharing and notify the fictional administrator.</w:t>
      </w:r>
    </w:p>
    <w:p>
      <w:r>
        <w:t>Related: 01 Intake; 06 Deadline Readiness.</w:t>
      </w:r>
    </w:p>
    <w:p>
      <w:pPr>
        <w:pStyle w:val="Heading1"/>
      </w:pPr>
      <w:r>
        <w:t>Document Control and Approval</w:t>
      </w:r>
    </w:p>
    <w:tbl>
      <w:tblPr>
        <w:tblStyle w:val="TableGrid"/>
        <w:tblW w:type="auto" w:w="0"/>
        <w:tblLook w:firstColumn="1" w:firstRow="1" w:lastColumn="0" w:lastRow="0" w:noHBand="0" w:noVBand="1" w:val="04A0"/>
      </w:tblPr>
      <w:tblGrid>
        <w:gridCol w:w="4939"/>
        <w:gridCol w:w="4939"/>
      </w:tblGrid>
      <w:tr>
        <w:tc>
          <w:tcPr>
            <w:tcW w:type="dxa" w:w="4939"/>
            <w:shd w:fill="D9EAF7"/>
          </w:tcPr>
          <w:p>
            <w:r>
              <w:rPr>
                <w:b/>
              </w:rPr>
              <w:t>Prepared by</w:t>
            </w:r>
          </w:p>
        </w:tc>
        <w:tc>
          <w:tcPr>
            <w:tcW w:type="dxa" w:w="4939"/>
            <w:shd w:fill="D9EAF7"/>
          </w:tcPr>
          <w:p>
            <w:r>
              <w:rPr>
                <w:b/>
              </w:rPr>
              <w:t>Approved by</w:t>
            </w:r>
          </w:p>
        </w:tc>
      </w:tr>
      <w:tr>
        <w:tc>
          <w:tcPr>
            <w:tcW w:type="dxa" w:w="4939"/>
          </w:tcPr>
          <w:p>
            <w:r>
              <w:t>Name / Role: __________________</w:t>
              <w:br/>
              <w:t>Date: ________________________</w:t>
            </w:r>
          </w:p>
        </w:tc>
        <w:tc>
          <w:tcPr>
            <w:tcW w:type="dxa" w:w="4939"/>
          </w:tcPr>
          <w:p>
            <w:r>
              <w:t>Name / Role: __________________</w:t>
              <w:br/>
              <w:t>Date: ________________________</w:t>
            </w:r>
          </w:p>
        </w:tc>
      </w:tr>
    </w:tbl>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B2G-POL-004  |  Version 1.0  |  Draft for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B2G  |  POLICY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