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4AEFBBE">
      <w:pPr>
        <w:pStyle w:val="2"/>
        <w:keepNext w:val="0"/>
        <w:keepLines w:val="0"/>
        <w:widowControl/>
        <w:suppressLineNumbers w:val="0"/>
        <w:rPr>
          <w:rFonts w:hint="default" w:ascii="Times New Roman" w:hAnsi="Times New Roman" w:cs="Times New Roman"/>
        </w:rPr>
      </w:pPr>
      <w:r>
        <w:rPr>
          <w:rFonts w:hint="default" w:ascii="Times New Roman" w:hAnsi="Times New Roman" w:eastAsia="SimSun" w:cs="Times New Roman"/>
          <w:sz w:val="24"/>
          <w:szCs w:val="24"/>
        </w:rPr>
        <w:drawing>
          <wp:inline distT="0" distB="0" distL="114300" distR="114300">
            <wp:extent cx="6964045" cy="977265"/>
            <wp:effectExtent l="0" t="0" r="0" b="0"/>
            <wp:docPr id="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IMG_256"/>
                    <pic:cNvPicPr>
                      <a:picLocks noChangeAspect="1"/>
                    </pic:cNvPicPr>
                  </pic:nvPicPr>
                  <pic:blipFill>
                    <a:blip r:embed="rId5"/>
                    <a:stretch>
                      <a:fillRect/>
                    </a:stretch>
                  </pic:blipFill>
                  <pic:spPr>
                    <a:xfrm>
                      <a:off x="0" y="0"/>
                      <a:ext cx="6964045" cy="977265"/>
                    </a:xfrm>
                    <a:prstGeom prst="rect">
                      <a:avLst/>
                    </a:prstGeom>
                    <a:noFill/>
                    <a:ln>
                      <a:noFill/>
                    </a:ln>
                  </pic:spPr>
                </pic:pic>
              </a:graphicData>
            </a:graphic>
          </wp:inline>
        </w:drawing>
      </w:r>
    </w:p>
    <w:p w14:paraId="2A26E113">
      <w:pPr>
        <w:pStyle w:val="13"/>
        <w:jc w:val="center"/>
        <w:rPr>
          <w:rFonts w:hint="default" w:ascii="Times New Roman" w:hAnsi="Times New Roman" w:cs="Times New Roman"/>
          <w:lang w:val="en-IN"/>
        </w:rPr>
      </w:pPr>
      <w:r>
        <w:rPr>
          <w:rFonts w:hint="default" w:ascii="Times New Roman" w:hAnsi="Times New Roman" w:cs="Times New Roman"/>
          <w:b/>
          <w:bCs/>
          <w:spacing w:val="0"/>
          <w:sz w:val="32"/>
          <w:szCs w:val="32"/>
          <w:lang w:val="en-IN"/>
        </w:rPr>
        <w:t>Abdul Rahman</w:t>
      </w:r>
      <w:r>
        <w:rPr>
          <w:rFonts w:hint="default" w:ascii="Times New Roman" w:hAnsi="Times New Roman" w:cs="Times New Roman"/>
          <w:b/>
          <w:bCs/>
          <w:spacing w:val="0"/>
          <w:sz w:val="32"/>
          <w:szCs w:val="32"/>
        </w:rPr>
        <w:t xml:space="preserve">, </w:t>
      </w:r>
      <w:r>
        <w:rPr>
          <w:rFonts w:hint="default" w:ascii="Times New Roman" w:hAnsi="Times New Roman" w:cs="Times New Roman"/>
          <w:b/>
          <w:bCs/>
          <w:spacing w:val="0"/>
          <w:sz w:val="32"/>
          <w:szCs w:val="32"/>
          <w:lang w:val="en-IN"/>
        </w:rPr>
        <w:t>Rahul R Shetty, Varunraj R Naik</w:t>
      </w:r>
    </w:p>
    <w:p w14:paraId="76FC42D5">
      <w:pPr>
        <w:jc w:val="center"/>
        <w:rPr>
          <w:rFonts w:hint="default" w:ascii="Times New Roman" w:hAnsi="Times New Roman" w:cs="Times New Roman"/>
          <w:spacing w:val="0"/>
          <w:sz w:val="24"/>
          <w:szCs w:val="24"/>
        </w:rPr>
      </w:pPr>
    </w:p>
    <w:p w14:paraId="75A6FC3F">
      <w:pPr>
        <w:ind w:firstLine="0" w:firstLineChars="0"/>
        <w:jc w:val="center"/>
        <w:rPr>
          <w:rFonts w:hint="default" w:ascii="Times New Roman" w:hAnsi="Times New Roman" w:eastAsia="Times New Roman" w:cs="Times New Roman"/>
          <w:spacing w:val="0"/>
          <w:sz w:val="24"/>
          <w:szCs w:val="24"/>
          <w:lang w:val="en-IN"/>
        </w:rPr>
      </w:pPr>
      <w:r>
        <w:rPr>
          <w:rFonts w:hint="default" w:ascii="Times New Roman" w:hAnsi="Times New Roman" w:eastAsia="Times New Roman" w:cs="Times New Roman"/>
          <w:spacing w:val="0"/>
          <w:sz w:val="24"/>
          <w:szCs w:val="24"/>
          <w:lang w:val="en-IN"/>
        </w:rPr>
        <w:t>Student</w:t>
      </w:r>
      <w:r>
        <w:rPr>
          <w:rFonts w:hint="default" w:ascii="Times New Roman" w:hAnsi="Times New Roman" w:eastAsia="Times New Roman" w:cs="Times New Roman"/>
          <w:spacing w:val="0"/>
          <w:sz w:val="24"/>
          <w:szCs w:val="24"/>
        </w:rPr>
        <w:t xml:space="preserve">, </w:t>
      </w:r>
      <w:r>
        <w:rPr>
          <w:rFonts w:hint="default" w:ascii="Times New Roman" w:hAnsi="Times New Roman" w:eastAsia="Times New Roman" w:cs="Times New Roman"/>
          <w:spacing w:val="0"/>
          <w:sz w:val="24"/>
          <w:szCs w:val="24"/>
          <w:lang w:val="en-IN"/>
        </w:rPr>
        <w:t>Department of CSE</w:t>
      </w:r>
      <w:r>
        <w:rPr>
          <w:rFonts w:hint="default" w:ascii="Times New Roman" w:hAnsi="Times New Roman" w:eastAsia="Times New Roman" w:cs="Times New Roman"/>
          <w:spacing w:val="0"/>
          <w:sz w:val="24"/>
          <w:szCs w:val="24"/>
        </w:rPr>
        <w:t xml:space="preserve">, </w:t>
      </w:r>
      <w:r>
        <w:rPr>
          <w:rFonts w:hint="default" w:ascii="Times New Roman" w:hAnsi="Times New Roman" w:eastAsia="Times New Roman" w:cs="Times New Roman"/>
          <w:spacing w:val="0"/>
          <w:sz w:val="24"/>
          <w:szCs w:val="24"/>
          <w:lang w:val="en-IN"/>
        </w:rPr>
        <w:t>Presidency University, Bangalore</w:t>
      </w:r>
    </w:p>
    <w:p w14:paraId="3C6FAC1D">
      <w:pPr>
        <w:ind w:firstLine="0" w:firstLineChars="0"/>
        <w:jc w:val="center"/>
        <w:rPr>
          <w:rFonts w:hint="default" w:ascii="Times New Roman" w:hAnsi="Times New Roman" w:eastAsia="Times New Roman" w:cs="Times New Roman"/>
          <w:spacing w:val="0"/>
          <w:sz w:val="24"/>
          <w:szCs w:val="24"/>
          <w:lang w:val="en-IN"/>
        </w:rPr>
      </w:pPr>
      <w:r>
        <w:rPr>
          <w:rFonts w:hint="default" w:ascii="Times New Roman" w:hAnsi="Times New Roman" w:eastAsia="Times New Roman" w:cs="Times New Roman"/>
          <w:spacing w:val="0"/>
          <w:sz w:val="24"/>
          <w:szCs w:val="24"/>
          <w:lang w:val="en-IN"/>
        </w:rPr>
        <w:t>Student</w:t>
      </w:r>
      <w:r>
        <w:rPr>
          <w:rFonts w:hint="default" w:ascii="Times New Roman" w:hAnsi="Times New Roman" w:eastAsia="Times New Roman" w:cs="Times New Roman"/>
          <w:spacing w:val="0"/>
          <w:sz w:val="24"/>
          <w:szCs w:val="24"/>
        </w:rPr>
        <w:t xml:space="preserve">, </w:t>
      </w:r>
      <w:r>
        <w:rPr>
          <w:rFonts w:hint="default" w:ascii="Times New Roman" w:hAnsi="Times New Roman" w:eastAsia="Times New Roman" w:cs="Times New Roman"/>
          <w:spacing w:val="0"/>
          <w:sz w:val="24"/>
          <w:szCs w:val="24"/>
          <w:lang w:val="en-IN"/>
        </w:rPr>
        <w:t>Department of CSE</w:t>
      </w:r>
      <w:r>
        <w:rPr>
          <w:rFonts w:hint="default" w:ascii="Times New Roman" w:hAnsi="Times New Roman" w:eastAsia="Times New Roman" w:cs="Times New Roman"/>
          <w:spacing w:val="0"/>
          <w:sz w:val="24"/>
          <w:szCs w:val="24"/>
        </w:rPr>
        <w:t xml:space="preserve">, </w:t>
      </w:r>
      <w:r>
        <w:rPr>
          <w:rFonts w:hint="default" w:ascii="Times New Roman" w:hAnsi="Times New Roman" w:eastAsia="Times New Roman" w:cs="Times New Roman"/>
          <w:spacing w:val="0"/>
          <w:sz w:val="24"/>
          <w:szCs w:val="24"/>
          <w:lang w:val="en-IN"/>
        </w:rPr>
        <w:t>Presidency University, Bangalore</w:t>
      </w:r>
    </w:p>
    <w:p w14:paraId="77680B13">
      <w:pPr>
        <w:ind w:firstLine="0" w:firstLineChars="0"/>
        <w:jc w:val="center"/>
        <w:rPr>
          <w:rFonts w:hint="default" w:ascii="Times New Roman" w:hAnsi="Times New Roman" w:eastAsia="Times New Roman" w:cs="Times New Roman"/>
          <w:spacing w:val="0"/>
          <w:sz w:val="24"/>
          <w:szCs w:val="24"/>
          <w:lang w:val="en-IN"/>
        </w:rPr>
      </w:pPr>
      <w:r>
        <w:rPr>
          <w:rFonts w:hint="default" w:ascii="Times New Roman" w:hAnsi="Times New Roman" w:eastAsia="Times New Roman" w:cs="Times New Roman"/>
          <w:spacing w:val="0"/>
          <w:sz w:val="24"/>
          <w:szCs w:val="24"/>
          <w:lang w:val="en-IN"/>
        </w:rPr>
        <w:t>Student</w:t>
      </w:r>
      <w:r>
        <w:rPr>
          <w:rFonts w:hint="default" w:ascii="Times New Roman" w:hAnsi="Times New Roman" w:eastAsia="Times New Roman" w:cs="Times New Roman"/>
          <w:spacing w:val="0"/>
          <w:sz w:val="24"/>
          <w:szCs w:val="24"/>
        </w:rPr>
        <w:t xml:space="preserve">, </w:t>
      </w:r>
      <w:r>
        <w:rPr>
          <w:rFonts w:hint="default" w:ascii="Times New Roman" w:hAnsi="Times New Roman" w:eastAsia="Times New Roman" w:cs="Times New Roman"/>
          <w:spacing w:val="0"/>
          <w:sz w:val="24"/>
          <w:szCs w:val="24"/>
          <w:lang w:val="en-IN"/>
        </w:rPr>
        <w:t>Department of CSE</w:t>
      </w:r>
      <w:r>
        <w:rPr>
          <w:rFonts w:hint="default" w:ascii="Times New Roman" w:hAnsi="Times New Roman" w:eastAsia="Times New Roman" w:cs="Times New Roman"/>
          <w:spacing w:val="0"/>
          <w:sz w:val="24"/>
          <w:szCs w:val="24"/>
        </w:rPr>
        <w:t xml:space="preserve">, </w:t>
      </w:r>
      <w:r>
        <w:rPr>
          <w:rFonts w:hint="default" w:ascii="Times New Roman" w:hAnsi="Times New Roman" w:eastAsia="Times New Roman" w:cs="Times New Roman"/>
          <w:spacing w:val="0"/>
          <w:sz w:val="24"/>
          <w:szCs w:val="24"/>
          <w:lang w:val="en-IN"/>
        </w:rPr>
        <w:t>Presidency University, Bangalore</w:t>
      </w:r>
    </w:p>
    <w:p w14:paraId="08F959D0">
      <w:pPr>
        <w:pStyle w:val="2"/>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u w:val="single"/>
        </w:rPr>
        <w:t>Literature Survey on Mood Tracking Applications</w:t>
      </w:r>
    </w:p>
    <w:p w14:paraId="69A79F26">
      <w:pPr>
        <w:rPr>
          <w:rFonts w:hint="default" w:ascii="Times New Roman" w:hAnsi="Times New Roman" w:cs="Times New Roman"/>
          <w:b/>
          <w:bCs/>
        </w:rPr>
      </w:pPr>
    </w:p>
    <w:p w14:paraId="0927FB2E">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u w:val="single"/>
        </w:rPr>
        <w:t>1. Introduction</w:t>
      </w:r>
    </w:p>
    <w:p w14:paraId="48E91EFF">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Mood tracking refers to the systematic recording and analysis of an individual’s emotional states over time. In recent years, mobile applications and wearable technologies have become the most popular tools for mood tracking due to their accessibility, portability, and integration into daily life. Such applications enable users to log moods, visualize trends, and in some cases, receive personalized recommendations.</w:t>
      </w:r>
    </w:p>
    <w:p w14:paraId="7CE8FD86">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This survey is restricted to digital mood-tracking systems published between 2013 and 2024, including self-report apps, clinical applications, and AI-driven systems. Non-digital tracking methods, such as diaries or paper journals, are intentionally excluded.</w:t>
      </w:r>
    </w:p>
    <w:p w14:paraId="4552434D">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general findings across the literature reveal that while mood-tracking apps excel at collecting and presenting mood data, they often lack mechanisms for </w:t>
      </w:r>
      <w:r>
        <w:rPr>
          <w:rStyle w:val="12"/>
          <w:rFonts w:hint="default" w:ascii="Times New Roman" w:hAnsi="Times New Roman" w:cs="Times New Roman"/>
        </w:rPr>
        <w:t>reflective engagement, ethical reasoning, and character development</w:t>
      </w:r>
      <w:r>
        <w:rPr>
          <w:rFonts w:hint="default" w:ascii="Times New Roman" w:hAnsi="Times New Roman" w:cs="Times New Roman"/>
        </w:rPr>
        <w:t xml:space="preserve">. This gap motivates the integration of philosophical frameworks such as </w:t>
      </w:r>
      <w:r>
        <w:rPr>
          <w:rStyle w:val="12"/>
          <w:rFonts w:hint="default" w:ascii="Times New Roman" w:hAnsi="Times New Roman" w:cs="Times New Roman"/>
        </w:rPr>
        <w:t>Socratic questioning and virtue ethics</w:t>
      </w:r>
      <w:r>
        <w:rPr>
          <w:rFonts w:hint="default" w:ascii="Times New Roman" w:hAnsi="Times New Roman" w:cs="Times New Roman"/>
        </w:rPr>
        <w:t xml:space="preserve"> into next-generation mood-tracking systems.</w:t>
      </w:r>
    </w:p>
    <w:p w14:paraId="4A11E7AC">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B54489A">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u w:val="single"/>
        </w:rPr>
        <w:t>2. Related Work</w:t>
      </w:r>
    </w:p>
    <w:p w14:paraId="6A7097F1">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u w:val="single"/>
        </w:rPr>
        <w:t>2.1 Early Mood-Tracking Applications</w:t>
      </w:r>
    </w:p>
    <w:p w14:paraId="12FB2962">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Chen et al. [1] provided one of the first systematic reviews of 32 commercial mood apps. Their study showed that most applications successfully supported self-reporting and visualization but offered little depth in terms of guided reflection or behavioral insight. Similarly, Wisniewski et al. [2] examined user perspectives, particularly among young people, and found that while personalization was appreciated, users expressed dissatisfaction with limited engagement features.</w:t>
      </w:r>
    </w:p>
    <w:p w14:paraId="7EF3DAF8">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These works demonstrate that early mood apps succeeded in making mood tracking accessible but fell short of promoting meaningful self-awareness.</w:t>
      </w: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04849BB">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u w:val="single"/>
        </w:rPr>
        <w:t>2.2 Clinical and Psychological Applications</w:t>
      </w:r>
    </w:p>
    <w:p w14:paraId="35FBC9AD">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Mood-tracking apps have also been explored in therapeutic and clinical contexts. Faurholt-Jepsen et al. [4] tested a smartphone app paired with a wearable activity tracker in a randomized trial. Results showed effectiveness in reducing recurrence of mood disorders, highlighting clinical promise. Hollis et al. [7] reviewed mobile apps for young people and concluded that while apps showed moderate reliability and usability, they lacked mechanisms for reflective or developmental practice.</w:t>
      </w:r>
    </w:p>
    <w:p w14:paraId="40409F3A">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Other clinical reviews (Feldman et al., 2021 [9]) emphasized the potential of mHealth interventions in supporting peripartum mood disorders, but again pointed out that engagement strategies were limited. Collectively, these works validate the clinical utility of mood apps but expose a lack of tools for </w:t>
      </w:r>
      <w:r>
        <w:rPr>
          <w:rStyle w:val="12"/>
          <w:rFonts w:hint="default" w:ascii="Times New Roman" w:hAnsi="Times New Roman" w:cs="Times New Roman"/>
        </w:rPr>
        <w:t>ethical self-reflection or value-driven behavior change</w:t>
      </w:r>
      <w:r>
        <w:rPr>
          <w:rFonts w:hint="default" w:ascii="Times New Roman" w:hAnsi="Times New Roman" w:cs="Times New Roman"/>
        </w:rPr>
        <w:t>.</w:t>
      </w:r>
    </w:p>
    <w:p w14:paraId="0462C5EA">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66EB0DDE">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u w:val="single"/>
        </w:rPr>
        <w:t>2.3 Machine Learning and Sensor-Based Mood Prediction</w:t>
      </w:r>
    </w:p>
    <w:p w14:paraId="5748FBB3">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shift from manual mood entry to passive mood detection marked a major milestone in the field. Lepri et al. [6] developed </w:t>
      </w:r>
      <w:r>
        <w:rPr>
          <w:rStyle w:val="8"/>
          <w:rFonts w:hint="default" w:ascii="Times New Roman" w:hAnsi="Times New Roman" w:cs="Times New Roman"/>
        </w:rPr>
        <w:t>EmotionSense</w:t>
      </w:r>
      <w:r>
        <w:rPr>
          <w:rFonts w:hint="default" w:ascii="Times New Roman" w:hAnsi="Times New Roman" w:cs="Times New Roman"/>
        </w:rPr>
        <w:t>, an early system that utilized smartphone sensors for mood inference in social psychology. Zhang et al. [5] later applied machine learning on smartphone data to monitor mood stability in depressive patients, demonstrating predictive potential.</w:t>
      </w:r>
    </w:p>
    <w:p w14:paraId="4FF8E989">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More recently, Ahmed and Ahmed [8] proposed an AI-driven continuous monitoring framework using multimodal data. Similarly, Liang et al. [10] explored privacy-preserving mood prediction, addressing growing concerns about user data. While these approaches improve </w:t>
      </w:r>
      <w:r>
        <w:rPr>
          <w:rStyle w:val="12"/>
          <w:rFonts w:hint="default" w:ascii="Times New Roman" w:hAnsi="Times New Roman" w:cs="Times New Roman"/>
        </w:rPr>
        <w:t>automation and detection accuracy</w:t>
      </w:r>
      <w:r>
        <w:rPr>
          <w:rFonts w:hint="default" w:ascii="Times New Roman" w:hAnsi="Times New Roman" w:cs="Times New Roman"/>
        </w:rPr>
        <w:t xml:space="preserve">, they remain focused on </w:t>
      </w:r>
      <w:r>
        <w:rPr>
          <w:rStyle w:val="12"/>
          <w:rFonts w:hint="default" w:ascii="Times New Roman" w:hAnsi="Times New Roman" w:cs="Times New Roman"/>
        </w:rPr>
        <w:t>prediction</w:t>
      </w:r>
      <w:r>
        <w:rPr>
          <w:rFonts w:hint="default" w:ascii="Times New Roman" w:hAnsi="Times New Roman" w:cs="Times New Roman"/>
        </w:rPr>
        <w:t xml:space="preserve">, not </w:t>
      </w:r>
      <w:r>
        <w:rPr>
          <w:rStyle w:val="12"/>
          <w:rFonts w:hint="default" w:ascii="Times New Roman" w:hAnsi="Times New Roman" w:cs="Times New Roman"/>
        </w:rPr>
        <w:t>reflection</w:t>
      </w:r>
      <w:r>
        <w:rPr>
          <w:rFonts w:hint="default" w:ascii="Times New Roman" w:hAnsi="Times New Roman" w:cs="Times New Roman"/>
        </w:rPr>
        <w:t>.</w:t>
      </w:r>
    </w:p>
    <w:p w14:paraId="77696AA4">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0ACE0C81">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u w:val="single"/>
        </w:rPr>
        <w:t>2.4 Ethical and Philosophical Gaps</w:t>
      </w:r>
    </w:p>
    <w:p w14:paraId="16DA49E5">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Despite technical advances, no existing mood-tracking systems incorporate </w:t>
      </w:r>
      <w:r>
        <w:rPr>
          <w:rStyle w:val="12"/>
          <w:rFonts w:hint="default" w:ascii="Times New Roman" w:hAnsi="Times New Roman" w:cs="Times New Roman"/>
        </w:rPr>
        <w:t>Socratic questioning</w:t>
      </w:r>
      <w:r>
        <w:rPr>
          <w:rFonts w:hint="default" w:ascii="Times New Roman" w:hAnsi="Times New Roman" w:cs="Times New Roman"/>
        </w:rPr>
        <w:t xml:space="preserve"> or </w:t>
      </w:r>
      <w:r>
        <w:rPr>
          <w:rStyle w:val="12"/>
          <w:rFonts w:hint="default" w:ascii="Times New Roman" w:hAnsi="Times New Roman" w:cs="Times New Roman"/>
        </w:rPr>
        <w:t>virtue ethics</w:t>
      </w:r>
      <w:r>
        <w:rPr>
          <w:rFonts w:hint="default" w:ascii="Times New Roman" w:hAnsi="Times New Roman" w:cs="Times New Roman"/>
        </w:rPr>
        <w:t xml:space="preserve"> into their design. Current systems treat mood primarily as a variable to be measured and predicted, not as a lived experience that requires reflection and ethical evaluation. Users are told </w:t>
      </w:r>
      <w:r>
        <w:rPr>
          <w:rStyle w:val="8"/>
          <w:rFonts w:hint="default" w:ascii="Times New Roman" w:hAnsi="Times New Roman" w:cs="Times New Roman"/>
        </w:rPr>
        <w:t>what</w:t>
      </w:r>
      <w:r>
        <w:rPr>
          <w:rFonts w:hint="default" w:ascii="Times New Roman" w:hAnsi="Times New Roman" w:cs="Times New Roman"/>
        </w:rPr>
        <w:t xml:space="preserve"> they feel, but rarely asked </w:t>
      </w:r>
      <w:r>
        <w:rPr>
          <w:rStyle w:val="8"/>
          <w:rFonts w:hint="default" w:ascii="Times New Roman" w:hAnsi="Times New Roman" w:cs="Times New Roman"/>
        </w:rPr>
        <w:t>why</w:t>
      </w:r>
      <w:r>
        <w:rPr>
          <w:rFonts w:hint="default" w:ascii="Times New Roman" w:hAnsi="Times New Roman" w:cs="Times New Roman"/>
        </w:rPr>
        <w:t xml:space="preserve"> they feel it or </w:t>
      </w:r>
      <w:r>
        <w:rPr>
          <w:rStyle w:val="8"/>
          <w:rFonts w:hint="default" w:ascii="Times New Roman" w:hAnsi="Times New Roman" w:cs="Times New Roman"/>
        </w:rPr>
        <w:t>how</w:t>
      </w:r>
      <w:r>
        <w:rPr>
          <w:rFonts w:hint="default" w:ascii="Times New Roman" w:hAnsi="Times New Roman" w:cs="Times New Roman"/>
        </w:rPr>
        <w:t xml:space="preserve"> their response aligns with personal virtues such as patience, courage, or temperance.</w:t>
      </w:r>
    </w:p>
    <w:p w14:paraId="067E07DD">
      <w:pPr>
        <w:pStyle w:val="11"/>
        <w:keepNext w:val="0"/>
        <w:keepLines w:val="0"/>
        <w:widowControl/>
        <w:suppressLineNumbers w:val="0"/>
        <w:rPr>
          <w:rFonts w:hint="default" w:ascii="Times New Roman" w:hAnsi="Times New Roman" w:cs="Times New Roman"/>
          <w:u w:val="single"/>
        </w:rPr>
      </w:pPr>
      <w:r>
        <w:rPr>
          <w:rFonts w:hint="default" w:ascii="Times New Roman" w:hAnsi="Times New Roman" w:cs="Times New Roman"/>
        </w:rPr>
        <w:t>This omission represents a fundamental research gap and motivates the Socratic Virtue project, which seeks to embed reflective questioning and ethical growth into mood-tracking technology.</w:t>
      </w:r>
    </w:p>
    <w:p w14:paraId="23965FB3">
      <w:pPr>
        <w:pStyle w:val="3"/>
        <w:keepNext w:val="0"/>
        <w:keepLines w:val="0"/>
        <w:widowControl/>
        <w:suppressLineNumbers w:val="0"/>
        <w:rPr>
          <w:rFonts w:hint="default" w:ascii="Times New Roman" w:hAnsi="Times New Roman" w:cs="Times New Roman"/>
          <w:u w:val="single"/>
        </w:rPr>
      </w:pPr>
    </w:p>
    <w:p w14:paraId="4B5620C9">
      <w:pPr>
        <w:pStyle w:val="3"/>
        <w:keepNext w:val="0"/>
        <w:keepLines w:val="0"/>
        <w:widowControl/>
        <w:suppressLineNumbers w:val="0"/>
        <w:rPr>
          <w:rFonts w:hint="default" w:ascii="Times New Roman" w:hAnsi="Times New Roman" w:cs="Times New Roman"/>
          <w:u w:val="single"/>
        </w:rPr>
      </w:pPr>
    </w:p>
    <w:p w14:paraId="2077F7CA">
      <w:pPr>
        <w:pStyle w:val="3"/>
        <w:keepNext w:val="0"/>
        <w:keepLines w:val="0"/>
        <w:widowControl/>
        <w:suppressLineNumbers w:val="0"/>
        <w:rPr>
          <w:rFonts w:hint="default" w:ascii="Times New Roman" w:hAnsi="Times New Roman" w:cs="Times New Roman"/>
          <w:u w:val="single"/>
        </w:rPr>
      </w:pPr>
    </w:p>
    <w:p w14:paraId="37E5E70A">
      <w:pPr>
        <w:pStyle w:val="3"/>
        <w:keepNext w:val="0"/>
        <w:keepLines w:val="0"/>
        <w:widowControl/>
        <w:suppressLineNumbers w:val="0"/>
        <w:rPr>
          <w:rFonts w:hint="default" w:ascii="Times New Roman" w:hAnsi="Times New Roman" w:cs="Times New Roman"/>
        </w:rPr>
      </w:pPr>
      <w:bookmarkStart w:id="0" w:name="_GoBack"/>
      <w:bookmarkEnd w:id="0"/>
      <w:r>
        <w:rPr>
          <w:rFonts w:hint="default" w:ascii="Times New Roman" w:hAnsi="Times New Roman" w:cs="Times New Roman"/>
          <w:u w:val="single"/>
        </w:rPr>
        <w:t>3. Conclusion</w:t>
      </w:r>
    </w:p>
    <w:p w14:paraId="25358F88">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literature on mood-tracking applications can be grouped into three broad streams: (i) </w:t>
      </w:r>
      <w:r>
        <w:rPr>
          <w:rStyle w:val="12"/>
          <w:rFonts w:hint="default" w:ascii="Times New Roman" w:hAnsi="Times New Roman" w:cs="Times New Roman"/>
        </w:rPr>
        <w:t>early applications</w:t>
      </w:r>
      <w:r>
        <w:rPr>
          <w:rFonts w:hint="default" w:ascii="Times New Roman" w:hAnsi="Times New Roman" w:cs="Times New Roman"/>
        </w:rPr>
        <w:t xml:space="preserve"> that emphasized logging and visualization, (ii) </w:t>
      </w:r>
      <w:r>
        <w:rPr>
          <w:rStyle w:val="12"/>
          <w:rFonts w:hint="default" w:ascii="Times New Roman" w:hAnsi="Times New Roman" w:cs="Times New Roman"/>
        </w:rPr>
        <w:t>clinical studies</w:t>
      </w:r>
      <w:r>
        <w:rPr>
          <w:rFonts w:hint="default" w:ascii="Times New Roman" w:hAnsi="Times New Roman" w:cs="Times New Roman"/>
        </w:rPr>
        <w:t xml:space="preserve"> that validated their therapeutic potential, and (iii) </w:t>
      </w:r>
      <w:r>
        <w:rPr>
          <w:rStyle w:val="12"/>
          <w:rFonts w:hint="default" w:ascii="Times New Roman" w:hAnsi="Times New Roman" w:cs="Times New Roman"/>
        </w:rPr>
        <w:t>sensor-based and AI-driven systems</w:t>
      </w:r>
      <w:r>
        <w:rPr>
          <w:rFonts w:hint="default" w:ascii="Times New Roman" w:hAnsi="Times New Roman" w:cs="Times New Roman"/>
        </w:rPr>
        <w:t xml:space="preserve"> that improved prediction accuracy.</w:t>
      </w:r>
    </w:p>
    <w:p w14:paraId="0B679182">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Across all streams, a common shortcoming emerges: mood-tracking apps enhance awareness but do not foster </w:t>
      </w:r>
      <w:r>
        <w:rPr>
          <w:rStyle w:val="12"/>
          <w:rFonts w:hint="default" w:ascii="Times New Roman" w:hAnsi="Times New Roman" w:cs="Times New Roman"/>
        </w:rPr>
        <w:t>reflection, ethical reasoning, or character development</w:t>
      </w:r>
      <w:r>
        <w:rPr>
          <w:rFonts w:hint="default" w:ascii="Times New Roman" w:hAnsi="Times New Roman" w:cs="Times New Roman"/>
        </w:rPr>
        <w:t xml:space="preserve">. By integrating </w:t>
      </w:r>
      <w:r>
        <w:rPr>
          <w:rStyle w:val="12"/>
          <w:rFonts w:hint="default" w:ascii="Times New Roman" w:hAnsi="Times New Roman" w:cs="Times New Roman"/>
        </w:rPr>
        <w:t>Socratic dialogue and virtue ethics</w:t>
      </w:r>
      <w:r>
        <w:rPr>
          <w:rFonts w:hint="default" w:ascii="Times New Roman" w:hAnsi="Times New Roman" w:cs="Times New Roman"/>
        </w:rPr>
        <w:t xml:space="preserve">, the proposed project addresses this gap, aiming to transform mood apps from passive trackers into </w:t>
      </w:r>
      <w:r>
        <w:rPr>
          <w:rStyle w:val="12"/>
          <w:rFonts w:hint="default" w:ascii="Times New Roman" w:hAnsi="Times New Roman" w:cs="Times New Roman"/>
        </w:rPr>
        <w:t>active tools for ethical self-development</w:t>
      </w:r>
      <w:r>
        <w:rPr>
          <w:rFonts w:hint="default" w:ascii="Times New Roman" w:hAnsi="Times New Roman" w:cs="Times New Roman"/>
        </w:rPr>
        <w:t>.</w:t>
      </w:r>
    </w:p>
    <w:p w14:paraId="3113B6B6">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2B9F0DD9">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u w:val="single"/>
        </w:rPr>
        <w:t>4. References</w:t>
      </w:r>
    </w:p>
    <w:p w14:paraId="7C84308C">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 Y. Chen, A. Zhu, Y. Xu, M. S. Gerber, and K. A. Carrión, “Mobile apps for mood tracking: An analysis of features and user reviews,” </w:t>
      </w:r>
      <w:r>
        <w:rPr>
          <w:rStyle w:val="8"/>
          <w:rFonts w:hint="default" w:ascii="Times New Roman" w:hAnsi="Times New Roman" w:cs="Times New Roman"/>
        </w:rPr>
        <w:t>AMIA Annual Symposium Proceedings</w:t>
      </w:r>
      <w:r>
        <w:rPr>
          <w:rFonts w:hint="default" w:ascii="Times New Roman" w:hAnsi="Times New Roman" w:cs="Times New Roman"/>
        </w:rPr>
        <w:t>, pp. 495–504, 2017.</w:t>
      </w:r>
    </w:p>
    <w:p w14:paraId="10FAE4E1">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K. Wisniewski, M. Henson, A. York, P. Hobbs, and A. Clark, “User perspectives of mood-monitoring apps available to young people: Qualitative content analysis,” </w:t>
      </w:r>
      <w:r>
        <w:rPr>
          <w:rStyle w:val="8"/>
          <w:rFonts w:hint="default" w:ascii="Times New Roman" w:hAnsi="Times New Roman" w:cs="Times New Roman"/>
        </w:rPr>
        <w:t>JMIR mHealth and uHealth</w:t>
      </w:r>
      <w:r>
        <w:rPr>
          <w:rFonts w:hint="default" w:ascii="Times New Roman" w:hAnsi="Times New Roman" w:cs="Times New Roman"/>
        </w:rPr>
        <w:t>, vol. 8, no. 10, p. e18140, Oct. 2020.</w:t>
      </w:r>
    </w:p>
    <w:p w14:paraId="5B5A2628">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[4] S. H. Faurholt-Jepsen, M. Bauer, and L. V. Kessing, “Effectiveness of a smartphone app with a wearable activity tracker in preventing the recurrence of mood disorders: Randomized clinical trial,” </w:t>
      </w:r>
      <w:r>
        <w:rPr>
          <w:rStyle w:val="8"/>
          <w:rFonts w:hint="default" w:ascii="Times New Roman" w:hAnsi="Times New Roman" w:cs="Times New Roman"/>
        </w:rPr>
        <w:t>JMIR Mental Health</w:t>
      </w:r>
      <w:r>
        <w:rPr>
          <w:rFonts w:hint="default" w:ascii="Times New Roman" w:hAnsi="Times New Roman" w:cs="Times New Roman"/>
        </w:rPr>
        <w:t>, vol. 7, no. 8, p. e19822, Aug. 2020.</w:t>
      </w:r>
    </w:p>
    <w:p w14:paraId="4E7A7B77">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[5] Y. Zhang et al., “Tracking and monitoring mood stability of patients with major depressive disorder by machine learning models using passive digital data,” </w:t>
      </w:r>
      <w:r>
        <w:rPr>
          <w:rStyle w:val="8"/>
          <w:rFonts w:hint="default" w:ascii="Times New Roman" w:hAnsi="Times New Roman" w:cs="Times New Roman"/>
        </w:rPr>
        <w:t>JMIR mHealth and uHealth</w:t>
      </w:r>
      <w:r>
        <w:rPr>
          <w:rFonts w:hint="default" w:ascii="Times New Roman" w:hAnsi="Times New Roman" w:cs="Times New Roman"/>
        </w:rPr>
        <w:t>, vol. 9, no. 3, p. e24365, Mar. 2021.</w:t>
      </w:r>
    </w:p>
    <w:p w14:paraId="0E5F9BE6">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[6] V. Lepri et al., “EmotionSense: A mobile phones based adaptive platform for experimental social psychology research,” in </w:t>
      </w:r>
      <w:r>
        <w:rPr>
          <w:rStyle w:val="8"/>
          <w:rFonts w:hint="default" w:ascii="Times New Roman" w:hAnsi="Times New Roman" w:cs="Times New Roman"/>
        </w:rPr>
        <w:t>Proc. ACM UbiComp</w:t>
      </w:r>
      <w:r>
        <w:rPr>
          <w:rFonts w:hint="default" w:ascii="Times New Roman" w:hAnsi="Times New Roman" w:cs="Times New Roman"/>
        </w:rPr>
        <w:t>, 2013, pp. 281–290.</w:t>
      </w:r>
    </w:p>
    <w:p w14:paraId="7A93AD34">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[7] J. Hollis et al., “A systematic review of the psychometric properties, usability and clinical impacts of mobile mood-monitoring applications in young people,” </w:t>
      </w:r>
      <w:r>
        <w:rPr>
          <w:rStyle w:val="8"/>
          <w:rFonts w:hint="default" w:ascii="Times New Roman" w:hAnsi="Times New Roman" w:cs="Times New Roman"/>
        </w:rPr>
        <w:t>Psychological Medicine</w:t>
      </w:r>
      <w:r>
        <w:rPr>
          <w:rFonts w:hint="default" w:ascii="Times New Roman" w:hAnsi="Times New Roman" w:cs="Times New Roman"/>
        </w:rPr>
        <w:t>, vol. 51, no. 1, pp. 7–21, 2021.</w:t>
      </w:r>
    </w:p>
    <w:p w14:paraId="5CFC5EC6">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[8] S. Ahmed and M. Ahmed, “Proactive Emotion Tracker: AI-driven continuous mood and emotion monitoring,” </w:t>
      </w:r>
      <w:r>
        <w:rPr>
          <w:rStyle w:val="8"/>
          <w:rFonts w:hint="default" w:ascii="Times New Roman" w:hAnsi="Times New Roman" w:cs="Times New Roman"/>
        </w:rPr>
        <w:t>arXiv preprint</w:t>
      </w:r>
      <w:r>
        <w:rPr>
          <w:rFonts w:hint="default" w:ascii="Times New Roman" w:hAnsi="Times New Roman" w:cs="Times New Roman"/>
        </w:rPr>
        <w:t xml:space="preserve"> arXiv:2401.13722, 2024.</w:t>
      </w:r>
    </w:p>
    <w:p w14:paraId="0480266F">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[9] J. Feldman, A. B. Anderson, M. Shapiro, and K. Y. Lin, “mHealth application interventions for peripartum mood disorders: A systematic review,” </w:t>
      </w:r>
      <w:r>
        <w:rPr>
          <w:rStyle w:val="8"/>
          <w:rFonts w:hint="default" w:ascii="Times New Roman" w:hAnsi="Times New Roman" w:cs="Times New Roman"/>
        </w:rPr>
        <w:t>Journal of Psychiatric Research</w:t>
      </w:r>
      <w:r>
        <w:rPr>
          <w:rFonts w:hint="default" w:ascii="Times New Roman" w:hAnsi="Times New Roman" w:cs="Times New Roman"/>
        </w:rPr>
        <w:t>, vol. 139, pp. 58–67, 2021.</w:t>
      </w:r>
    </w:p>
    <w:p w14:paraId="19530623">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[10] R. Liang, S. Sharma, and J. Li, “Learning language and multimodal privacy-preserving markers of mood,” </w:t>
      </w:r>
      <w:r>
        <w:rPr>
          <w:rStyle w:val="8"/>
          <w:rFonts w:hint="default" w:ascii="Times New Roman" w:hAnsi="Times New Roman" w:cs="Times New Roman"/>
        </w:rPr>
        <w:t>arXiv preprint</w:t>
      </w:r>
      <w:r>
        <w:rPr>
          <w:rFonts w:hint="default" w:ascii="Times New Roman" w:hAnsi="Times New Roman" w:cs="Times New Roman"/>
        </w:rPr>
        <w:t xml:space="preserve"> arXiv:2106.13213, 2021.</w:t>
      </w:r>
    </w:p>
    <w:sectPr>
      <w:footerReference r:id="rId3" w:type="default"/>
      <w:pgSz w:w="12240" w:h="15840"/>
      <w:pgMar w:top="1440" w:right="720" w:bottom="599" w:left="720" w:header="0" w:footer="0" w:gutter="0"/>
      <w:pgBorders w:offsetFrom="page">
        <w:top w:val="single" w:color="auto" w:sz="4" w:space="24"/>
        <w:left w:val="single" w:color="auto" w:sz="4" w:space="24"/>
        <w:bottom w:val="single" w:color="auto" w:sz="4" w:space="24"/>
        <w:right w:val="single" w:color="auto" w:sz="4" w:space="24"/>
      </w:pgBorders>
      <w:cols w:equalWidth="0" w:num="1">
        <w:col w:w="1080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00"/>
    <w:family w:val="auto"/>
    <w:pitch w:val="default"/>
    <w:sig w:usb0="E4002EFF" w:usb1="C200247B" w:usb2="00000009" w:usb3="00000000" w:csb0="200001FF" w:csb1="00000000"/>
  </w:font>
  <w:font w:name="STLiti">
    <w:panose1 w:val="02010800040101010101"/>
    <w:charset w:val="86"/>
    <w:family w:val="auto"/>
    <w:pitch w:val="default"/>
    <w:sig w:usb0="00000001" w:usb1="080F0000" w:usb2="00000000" w:usb3="00000000" w:csb0="00040000" w:csb1="00000000"/>
  </w:font>
  <w:font w:name="Sitka Small Semibold">
    <w:panose1 w:val="00000000000000000000"/>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601284">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7F89ECBD">
                          <w:pPr>
                            <w:pStyle w:val="9"/>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Text Box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OqXm5zwAAAAUBAAAPAAAAAAAAAAEAIAAAACIAAABk&#10;cnMvZG93bnJldi54bWxQSwECFAAUAAAACACHTuJAlk/yYNYBAADGAwAADgAAAAAAAAABACAAAAAe&#10;AQAAZHJzL2Uyb0RvYy54bWxQSwUGAAAAAAYABgBZAQAAZgUAAAAA&#10;">
              <v:fill on="f" focussize="0,0"/>
              <v:stroke on="f"/>
              <v:imagedata o:title=""/>
              <o:lock v:ext="edit" aspectratio="f"/>
              <v:textbox inset="0mm,0mm,0mm,0mm" style="mso-fit-shape-to-text:t;">
                <w:txbxContent>
                  <w:p w14:paraId="7F89ECBD">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hdrShapeDefaults>
    <o:shapelayout v:ext="edit">
      <o:idmap v:ext="edit" data="2"/>
    </o:shapelayout>
  </w:hdrShapeDefault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B46D67"/>
    <w:rsid w:val="550E3B1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uiPriority w:val="1"/>
  </w:style>
  <w:style w:type="table" w:default="1" w:styleId="7">
    <w:name w:val="Normal Table"/>
    <w:semiHidden/>
    <w:unhideWhenUsed/>
    <w:qFormat/>
    <w:uiPriority w:val="99"/>
    <w:tblPr>
      <w:tblStyle w:val="7"/>
    </w:tblPr>
  </w:style>
  <w:style w:type="character" w:styleId="8">
    <w:name w:val="Emphasis"/>
    <w:basedOn w:val="6"/>
    <w:qFormat/>
    <w:uiPriority w:val="20"/>
    <w:rPr>
      <w:i/>
      <w:iCs/>
    </w:rPr>
  </w:style>
  <w:style w:type="paragraph" w:styleId="9">
    <w:name w:val="footer"/>
    <w:basedOn w:val="1"/>
    <w:semiHidden/>
    <w:unhideWhenUsed/>
    <w:uiPriority w:val="99"/>
    <w:pPr>
      <w:tabs>
        <w:tab w:val="center" w:pos="4153"/>
        <w:tab w:val="right" w:pos="8306"/>
      </w:tabs>
      <w:snapToGrid w:val="0"/>
      <w:jc w:val="left"/>
    </w:pPr>
    <w:rPr>
      <w:sz w:val="18"/>
      <w:szCs w:val="18"/>
    </w:rPr>
  </w:style>
  <w:style w:type="paragraph" w:styleId="10">
    <w:name w:val="header"/>
    <w:basedOn w:val="1"/>
    <w:semiHidden/>
    <w:unhideWhenUsed/>
    <w:uiPriority w:val="99"/>
    <w:pPr>
      <w:tabs>
        <w:tab w:val="center" w:pos="4153"/>
        <w:tab w:val="right" w:pos="8306"/>
      </w:tabs>
      <w:snapToGrid w:val="0"/>
    </w:pPr>
    <w:rPr>
      <w:sz w:val="18"/>
      <w:szCs w:val="18"/>
    </w:rPr>
  </w:style>
  <w:style w:type="paragraph" w:styleId="11">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2">
    <w:name w:val="Strong"/>
    <w:basedOn w:val="6"/>
    <w:qFormat/>
    <w:uiPriority w:val="22"/>
    <w:rPr>
      <w:b/>
      <w:bCs/>
    </w:rPr>
  </w:style>
  <w:style w:type="paragraph" w:customStyle="1" w:styleId="13">
    <w:name w:val="Author"/>
    <w:basedOn w:val="1"/>
    <w:qFormat/>
    <w:uiPriority w:val="0"/>
    <w:pPr>
      <w:widowControl/>
      <w:suppressAutoHyphens/>
      <w:bidi w:val="0"/>
      <w:spacing w:before="0" w:after="0" w:line="276" w:lineRule="auto"/>
      <w:jc w:val="center"/>
    </w:pPr>
    <w:rPr>
      <w:rFonts w:ascii="Times New Roman" w:hAnsi="Times New Roman" w:eastAsia="SimSun" w:cs="Times New Roman"/>
      <w:b/>
      <w:color w:val="auto"/>
      <w:kern w:val="0"/>
      <w:sz w:val="32"/>
      <w:szCs w:val="22"/>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TotalTime>6</TotalTime>
  <ScaleCrop>false</ScaleCrop>
  <LinksUpToDate>false</LinksUpToDate>
  <Application>WPS Office_12.2.0.22549_F1E327BC-269C-435d-A152-05C5408002CA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2025-09-03T13:39:46Z</dcterms:created>
  <dc:creator>yasee</dc:creator>
  <cp:lastModifiedBy>Abdul Rahman</cp:lastModifiedBy>
  <dcterms:modified xsi:type="dcterms:W3CDTF">2025-09-03T14:10:21Z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5A9B71977F9A484DAE7CAF59FB560666_13</vt:lpwstr>
  </property>
</Properties>
</file>