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E532" w14:textId="77777777" w:rsidR="00CD5869" w:rsidRDefault="00CD5869" w:rsidP="00CD5869">
      <w:pPr>
        <w:spacing w:before="2000" w:after="200"/>
        <w:jc w:val="center"/>
      </w:pPr>
      <w:r>
        <w:rPr>
          <w:b/>
          <w:bCs/>
          <w:sz w:val="32"/>
          <w:szCs w:val="32"/>
        </w:rPr>
        <w:t>A Case Study of Momentum Investing on Selected PSX Stocks:</w:t>
      </w:r>
    </w:p>
    <w:p w14:paraId="45387F90" w14:textId="77777777" w:rsidR="00CD5869" w:rsidRDefault="00CD5869" w:rsidP="00CD5869">
      <w:pPr>
        <w:spacing w:after="600"/>
        <w:jc w:val="center"/>
      </w:pPr>
      <w:r>
        <w:rPr>
          <w:b/>
          <w:bCs/>
          <w:sz w:val="32"/>
          <w:szCs w:val="32"/>
        </w:rPr>
        <w:t>Evaluating Rebalancing Frequency for Pakistani Retail Investors</w:t>
      </w:r>
    </w:p>
    <w:p w14:paraId="23828D55" w14:textId="77777777" w:rsidR="00CD5869" w:rsidRDefault="00CD5869" w:rsidP="00CD5869">
      <w:pPr>
        <w:spacing w:after="200"/>
        <w:jc w:val="center"/>
      </w:pPr>
      <w:r>
        <w:t>Final Year Project — BS Actuarial Science</w:t>
      </w:r>
    </w:p>
    <w:p w14:paraId="41B21349" w14:textId="18D93D4C" w:rsidR="008A1066" w:rsidRDefault="008A1066" w:rsidP="00CD5869">
      <w:pPr>
        <w:spacing w:after="200"/>
        <w:jc w:val="center"/>
      </w:pPr>
      <w:r>
        <w:t>Abdul Rasheed</w:t>
      </w:r>
    </w:p>
    <w:p w14:paraId="6F164F2D" w14:textId="450EFA5E" w:rsidR="008A1066" w:rsidRDefault="008A1066" w:rsidP="00CD5869">
      <w:pPr>
        <w:spacing w:after="200"/>
        <w:jc w:val="center"/>
      </w:pPr>
      <w:r>
        <w:t>Daniyal Bin Sabir</w:t>
      </w:r>
    </w:p>
    <w:p w14:paraId="3E379633" w14:textId="4EBC6D58" w:rsidR="008A1066" w:rsidRDefault="008A1066" w:rsidP="00CD5869">
      <w:pPr>
        <w:spacing w:after="200"/>
        <w:jc w:val="center"/>
      </w:pPr>
      <w:r>
        <w:t>Abdul Nafay</w:t>
      </w:r>
    </w:p>
    <w:p w14:paraId="6274BD6F" w14:textId="77777777" w:rsidR="00CD5869" w:rsidRDefault="00CD5869" w:rsidP="00CD5869">
      <w:pPr>
        <w:spacing w:after="2000"/>
        <w:jc w:val="center"/>
      </w:pPr>
      <w:r>
        <w:rPr>
          <w:i/>
          <w:iCs/>
        </w:rPr>
        <w:t>Submission Year: 2026</w:t>
      </w:r>
    </w:p>
    <w:p w14:paraId="6CD1AB86" w14:textId="77777777" w:rsidR="00CD5869" w:rsidRDefault="00CD5869" w:rsidP="00CD5869"/>
    <w:p w14:paraId="2F31A079" w14:textId="77777777" w:rsidR="00CD5869" w:rsidRDefault="00CD5869" w:rsidP="00CD5869"/>
    <w:p w14:paraId="20074FCF" w14:textId="77777777" w:rsidR="00CD5869" w:rsidRDefault="00CD5869" w:rsidP="00CD5869"/>
    <w:p w14:paraId="76625B3F" w14:textId="77777777" w:rsidR="00CD5869" w:rsidRDefault="00CD5869" w:rsidP="00CD5869"/>
    <w:p w14:paraId="39A583DD" w14:textId="77777777" w:rsidR="00CD5869" w:rsidRDefault="00CD5869" w:rsidP="00CD5869"/>
    <w:p w14:paraId="7D59C626" w14:textId="77777777" w:rsidR="00CD5869" w:rsidRDefault="00CD5869" w:rsidP="00CD5869"/>
    <w:p w14:paraId="24C014F6" w14:textId="77777777" w:rsidR="00CD5869" w:rsidRDefault="00CD5869" w:rsidP="00CD5869"/>
    <w:p w14:paraId="6DFCAA4F" w14:textId="77777777" w:rsidR="00CD5869" w:rsidRDefault="00CD5869" w:rsidP="00CD5869"/>
    <w:p w14:paraId="5CDFB30B" w14:textId="77777777" w:rsidR="00CD5869" w:rsidRDefault="00CD5869" w:rsidP="00CD5869"/>
    <w:p w14:paraId="39AA8829" w14:textId="77777777" w:rsidR="00CD5869" w:rsidRDefault="00CD5869" w:rsidP="00CD5869"/>
    <w:p w14:paraId="6674FE76" w14:textId="77777777" w:rsidR="00CD5869" w:rsidRDefault="00CD5869" w:rsidP="00CD5869"/>
    <w:p w14:paraId="52D35047" w14:textId="77777777" w:rsidR="00CD5869" w:rsidRDefault="00CD5869" w:rsidP="00CD5869"/>
    <w:p w14:paraId="27D3C16F" w14:textId="77777777" w:rsidR="00CD5869" w:rsidRDefault="00CD5869" w:rsidP="00CD5869"/>
    <w:p w14:paraId="6A5906D2" w14:textId="77777777" w:rsidR="00CD5869" w:rsidRDefault="00CD5869" w:rsidP="00CD5869"/>
    <w:p w14:paraId="46FAFD7E" w14:textId="77777777" w:rsidR="00CD5869" w:rsidRDefault="00CD5869" w:rsidP="00CD5869"/>
    <w:p w14:paraId="4D5AD75C" w14:textId="7467A392" w:rsidR="00CD5869" w:rsidRPr="008A1066" w:rsidRDefault="00CD5869" w:rsidP="00CD5869">
      <w:pPr>
        <w:rPr>
          <w:b/>
          <w:bCs/>
          <w:sz w:val="32"/>
          <w:szCs w:val="32"/>
        </w:rPr>
      </w:pPr>
      <w:r w:rsidRPr="008A1066">
        <w:rPr>
          <w:b/>
          <w:bCs/>
          <w:sz w:val="32"/>
          <w:szCs w:val="32"/>
        </w:rPr>
        <w:t>Abstract</w:t>
      </w:r>
    </w:p>
    <w:p w14:paraId="3104BB7D" w14:textId="077A6B0D" w:rsidR="00CD5869" w:rsidRDefault="00CD5869" w:rsidP="00CD5869">
      <w:r>
        <w:t xml:space="preserve">While there is stringent documented evidence to support momentum investments in developed equity markets, the momentum investing retail investor in frontier or smaller emergent markets like Pakistan seldom gets a straight answer to its more basic and pragmatic question: how often should it rebalance, once it has decided to invest with momentum? This project provides an answer to this question for a relatively small universe of eight liquid PSX stocks (long as of January 2015 to December 2024): OGDC, MEBL, EFERT, MCB, LUCK, FFC, SAZEW and MARI. A 6-month formation period is standard and the sorting into the Top 2, Top 3 and Top 5 equal-weighted 6-monthly, semi-annual and quarterly rebalanced lists is subject to a one-way transaction cost of 0.35% plus a 15% capital gains tax on realised gains at each rebalance. Across all nine combinations, annual rebalancing earned the highest Sharpe ratio and all combinations surpassed the risk-adjusted return of the KSE-100 benchmark, albeit not necessarily the return. The Annual combination of the Top 3 is presented as the most solid option as a whole, since it contains nearly all of the Top 2's Sharpe ratio, but its max drawdown is shallower (-42.3% vs -53.9%), a really important part of the equation for the typical retail investor who can't afford to take losses of nearly 54%. </w:t>
      </w:r>
      <w:r w:rsidR="008A1066">
        <w:t>Obviously,</w:t>
      </w:r>
      <w:r>
        <w:t xml:space="preserve"> the lowest frequency is a rebalance every quarter, and only where the costs of trading more often are outweighed by the gains that can be made from obtaining the latest rankings.</w:t>
      </w:r>
    </w:p>
    <w:p w14:paraId="1D9986CD" w14:textId="77777777" w:rsidR="00CD5869" w:rsidRPr="008A1066" w:rsidRDefault="00CD5869" w:rsidP="00CD5869">
      <w:pPr>
        <w:rPr>
          <w:b/>
          <w:bCs/>
          <w:sz w:val="32"/>
          <w:szCs w:val="32"/>
        </w:rPr>
      </w:pPr>
      <w:r w:rsidRPr="008A1066">
        <w:rPr>
          <w:b/>
          <w:bCs/>
          <w:sz w:val="32"/>
          <w:szCs w:val="32"/>
        </w:rPr>
        <w:t>1. Introduction</w:t>
      </w:r>
    </w:p>
    <w:p w14:paraId="25D51887" w14:textId="77777777" w:rsidR="00CD5869" w:rsidRDefault="00CD5869" w:rsidP="00CD5869">
      <w:r>
        <w:t>The essence of momentum investing is a simple (and slightly uncomfortable) empirical truth: If the stock is performing well over the last few months, it's likely performing well for a few more months, and if it's performing badly, then performing badly is what you can expect it to do for a while anyways. This is in contradiction to the basic tenet of market efficiency, and has been well established in the literature since the seminal paper by Jegadeesh and Titman (1993) on US equities. But how often the portfolio should be reshaped, and, crucially, how one should manage their own money in this manner, is not so clear — particularly to someone who wants to do it.</w:t>
      </w:r>
    </w:p>
    <w:p w14:paraId="7B1AB367" w14:textId="77777777" w:rsidR="00CD5869" w:rsidRDefault="00CD5869" w:rsidP="00CD5869">
      <w:r>
        <w:t xml:space="preserve">This project is motivated directly by </w:t>
      </w:r>
      <w:proofErr w:type="spellStart"/>
      <w:r>
        <w:t>Foltice</w:t>
      </w:r>
      <w:proofErr w:type="spellEnd"/>
      <w:r>
        <w:t xml:space="preserve"> and Langer (2015), who answered the same question for individual investors and their conclusion is that rebalancing at too high a frequency can destroy the strategy's edge when taking realistic trading frictions into account. The stock market in Pakistan – the PSX – is an interesting and relatively little-</w:t>
      </w:r>
      <w:r>
        <w:lastRenderedPageBreak/>
        <w:t>explored context to re-evaluate that very question. It is more expensive to execute trades than in many developed markets, the CGT regime is designed to explicitly penalise short holding periods and in an anecdotally fringe-base sample of retail investors, trades are rebalanced far more than one would naively like. So, especially in the PSX situation, with the frictions somewhat different from the individual US investor, a practical question arises about whether the same caution that applies to the individual U.S. investor applies in the PSX situation.</w:t>
      </w:r>
    </w:p>
    <w:p w14:paraId="4A6177BE" w14:textId="77777777" w:rsidR="00CD5869" w:rsidRDefault="00CD5869" w:rsidP="00CD5869">
      <w:r>
        <w:t>Having said that, it is just a case study and not a market-wide test application for the PSX momentum. The 8 stocks available and used were not a conscious sampling selection. The project isn't trying to make any statement about momentum on the exchange as a whole, and the data should be interpreted as being relevant only in this regard: this window of ten years for this set of large, liquid names.</w:t>
      </w:r>
    </w:p>
    <w:p w14:paraId="183BA1A5" w14:textId="77777777" w:rsidR="00CD5869" w:rsidRPr="008A1066" w:rsidRDefault="00CD5869" w:rsidP="00CD5869">
      <w:pPr>
        <w:rPr>
          <w:b/>
          <w:bCs/>
          <w:sz w:val="28"/>
          <w:szCs w:val="28"/>
        </w:rPr>
      </w:pPr>
      <w:r w:rsidRPr="008A1066">
        <w:rPr>
          <w:b/>
          <w:bCs/>
          <w:sz w:val="28"/>
          <w:szCs w:val="28"/>
        </w:rPr>
        <w:t>1.1 Research Question</w:t>
      </w:r>
    </w:p>
    <w:p w14:paraId="42B506D1" w14:textId="77777777" w:rsidR="00CD5869" w:rsidRDefault="00CD5869" w:rsidP="00CD5869">
      <w:r>
        <w:t>What is the optimal rebalancing period for a momentum portfolio of PSX equities, considering all rebalancing costs including transaction fees and capital gains taxes?</w:t>
      </w:r>
    </w:p>
    <w:p w14:paraId="35D34B88" w14:textId="77777777" w:rsidR="00CD5869" w:rsidRPr="008A1066" w:rsidRDefault="00CD5869" w:rsidP="00CD5869">
      <w:pPr>
        <w:rPr>
          <w:b/>
          <w:bCs/>
          <w:sz w:val="28"/>
          <w:szCs w:val="28"/>
        </w:rPr>
      </w:pPr>
      <w:r w:rsidRPr="008A1066">
        <w:rPr>
          <w:b/>
          <w:bCs/>
          <w:sz w:val="28"/>
          <w:szCs w:val="28"/>
        </w:rPr>
        <w:t>1.2 Objectives</w:t>
      </w:r>
    </w:p>
    <w:p w14:paraId="06055E73" w14:textId="77777777" w:rsidR="00CD5869" w:rsidRDefault="00CD5869" w:rsidP="00CD5869">
      <w:r>
        <w:t>Construct your formation - momentum ranked portfolio consisting of 8 available stocks in the PSX, using the formation for 6 months. 2. Use 3 concentrations of the portfolio (Top 2, Top 3 and Top 5), and 3 frequencies of rebalancing (Yearly, semi-annually or quarterly). 3. Calculate the resulting returns to be realistic net transaction costs and CGT. 4. Compare the nine strategies against one another and against the KSE-100 on risk-adjusted basis, principal criteria being Sharpe ratio, secondary being alpha, volatility and Maximum draw down under the criteria of CAPM.</w:t>
      </w:r>
    </w:p>
    <w:p w14:paraId="1705248B" w14:textId="77777777" w:rsidR="00CD5869" w:rsidRPr="008A1066" w:rsidRDefault="00CD5869" w:rsidP="00CD5869">
      <w:pPr>
        <w:rPr>
          <w:b/>
          <w:bCs/>
          <w:sz w:val="28"/>
          <w:szCs w:val="28"/>
        </w:rPr>
      </w:pPr>
      <w:r w:rsidRPr="008A1066">
        <w:rPr>
          <w:b/>
          <w:bCs/>
          <w:sz w:val="28"/>
          <w:szCs w:val="28"/>
        </w:rPr>
        <w:t>2. Literature Review</w:t>
      </w:r>
    </w:p>
    <w:p w14:paraId="3B5795E7" w14:textId="77777777" w:rsidR="00CD5869" w:rsidRDefault="00CD5869" w:rsidP="00CD5869">
      <w:r>
        <w:t xml:space="preserve">It is obvious that any momentum project needs to begin with Jegadeesh and Titman 1993. They have demonstrated that one could profit from such strategies over 3–12-month timescales in the US by consistently buying winners and selling losers: abnormal returns in favour of buying </w:t>
      </w:r>
      <w:proofErr w:type="spellStart"/>
      <w:r>
        <w:t>overbuyers</w:t>
      </w:r>
      <w:proofErr w:type="spellEnd"/>
      <w:r>
        <w:t xml:space="preserve"> were significantly, but not obviously, larger for such strategies than abnormal returns of selling </w:t>
      </w:r>
      <w:proofErr w:type="spellStart"/>
      <w:r>
        <w:t>overbuyers</w:t>
      </w:r>
      <w:proofErr w:type="spellEnd"/>
      <w:r>
        <w:t>. They favoured investor underreaction to news, that prices adapt more slowly than a perfectly efficient market would dictate, and therefore there is an initial "drift" which can be exploited!</w:t>
      </w:r>
    </w:p>
    <w:p w14:paraId="2A1E9B9B" w14:textId="77777777" w:rsidR="00CD5869" w:rsidRDefault="00CD5869" w:rsidP="00CD5869">
      <w:r>
        <w:t>Among other reasons momentum has remained a viable line of study by academics and practitioners – despite often being viewed as questionable – is that momentum is itself a priced risk factor (UMD) in a four-factor extension of the Fama-French model that was built by Carhart (1997).</w:t>
      </w:r>
    </w:p>
    <w:p w14:paraId="7344573B" w14:textId="4607F515" w:rsidR="00CD5869" w:rsidRDefault="00CD5869" w:rsidP="00CD5869">
      <w:r>
        <w:lastRenderedPageBreak/>
        <w:t xml:space="preserve">The structure of this project is most heavily drawn on from the work of </w:t>
      </w:r>
      <w:proofErr w:type="spellStart"/>
      <w:r>
        <w:t>Foltice</w:t>
      </w:r>
      <w:proofErr w:type="spellEnd"/>
      <w:r>
        <w:t xml:space="preserve"> and Langer (2015). </w:t>
      </w:r>
      <w:r w:rsidR="008A1066">
        <w:t>Instead,</w:t>
      </w:r>
      <w:r>
        <w:t xml:space="preserve"> they modelled their strategy as one might have to model it in reality as an actual individual investor, with realistic commissions, bid-ask spreads, and tax treatment on a short-term gain. Their key finding was that profitability was resilient to such pressures but required rebalancing frequency—an excessive amount of frequency undermined a lot of the edge. That's the tension this project aims to replicate and examine in a PSX context, where the frictions structurally resemble the US context's (CDC charges, “brokerage,” a more explicit (and faster) price reduction at the end of 1 and 2 years of holding), but differ in magnitude.</w:t>
      </w:r>
    </w:p>
    <w:p w14:paraId="7CAC311D" w14:textId="1FD36F0B" w:rsidR="00CD5869" w:rsidRDefault="00CD5869" w:rsidP="00CD5869">
      <w:r>
        <w:t>The literature on the Pakistani market is significantly less. There is a small number of studies on return predictability and anomalies over the KSE-100 overall but there isn't much information around for the specific studies relevant to the momentum investors and cost adjusted and retail-investor investors investments, as per the title of this study - this is one of the reasons, even on a low scale of 8 shares, to conduct this particular study. Because of the limits of this project, it is not an exhaustive survey of the momentum literature, but rather is limited to those papers decided on which most directly influenced the methodology.</w:t>
      </w:r>
    </w:p>
    <w:p w14:paraId="1E52D72F" w14:textId="77777777" w:rsidR="00CD5869" w:rsidRPr="008A1066" w:rsidRDefault="00CD5869" w:rsidP="00CD5869">
      <w:pPr>
        <w:rPr>
          <w:b/>
          <w:bCs/>
          <w:sz w:val="32"/>
          <w:szCs w:val="32"/>
        </w:rPr>
      </w:pPr>
      <w:r w:rsidRPr="008A1066">
        <w:rPr>
          <w:b/>
          <w:bCs/>
          <w:sz w:val="32"/>
          <w:szCs w:val="32"/>
        </w:rPr>
        <w:t>3. Methodology</w:t>
      </w:r>
    </w:p>
    <w:p w14:paraId="6B15EAA2" w14:textId="77777777" w:rsidR="00CD5869" w:rsidRPr="008A1066" w:rsidRDefault="00CD5869" w:rsidP="00CD5869">
      <w:pPr>
        <w:rPr>
          <w:b/>
          <w:bCs/>
          <w:sz w:val="28"/>
          <w:szCs w:val="28"/>
        </w:rPr>
      </w:pPr>
      <w:r w:rsidRPr="008A1066">
        <w:rPr>
          <w:b/>
          <w:bCs/>
          <w:sz w:val="28"/>
          <w:szCs w:val="28"/>
        </w:rPr>
        <w:t>3.1 Data</w:t>
      </w:r>
    </w:p>
    <w:p w14:paraId="42D72A69" w14:textId="75E8F8C6" w:rsidR="00CD5869" w:rsidRDefault="00CD5869" w:rsidP="00CD5869">
      <w:r>
        <w:t xml:space="preserve">Three data sets were used. Data on closing prices of eight stocks listed on PSX were available on a monthly basis between January 2015 and December 2024. Used as a benchmark, the KSE-100 index was provided separately, and it was the "source file" needed to be provided in a format that the KSE indicator can use, which required reformatting from a comma delimited text file to a numeric index, and the data had to be sorted in chronological order and pasted over previous entries. The </w:t>
      </w:r>
      <w:r w:rsidR="008A1066">
        <w:t>risk-free</w:t>
      </w:r>
      <w:r>
        <w:t xml:space="preserve"> proxy was the 3-Month T-Bill yield with the last auction yield of the month used if the auction data was on a bi weekly basis to change to the monthly series.</w:t>
      </w:r>
    </w:p>
    <w:p w14:paraId="5382C4CD" w14:textId="788C18D3" w:rsidR="00CD5869" w:rsidRDefault="008A1066" w:rsidP="00CD5869">
      <w:r>
        <w:t>Also,</w:t>
      </w:r>
      <w:r w:rsidR="00CD5869">
        <w:t xml:space="preserve"> during data cleaning, it was discovered that a value in the stock price data was actually encoded incorrectly: the number of the calendar month was written in the day field of the date field, which made it so that a naive chronological sort would result in the wrong ordering of the months. This was remedied prior to more analysis; it's explained in the workbook for transparency.</w:t>
      </w:r>
    </w:p>
    <w:p w14:paraId="5AC4D153" w14:textId="4C5F00F7" w:rsidR="00CD5869" w:rsidRDefault="00CD5869" w:rsidP="00CD5869">
      <w:r>
        <w:t xml:space="preserve">The project brief had stated that the project was to begin January 2014. None of the three data source files start until January 2015 so there </w:t>
      </w:r>
      <w:r w:rsidR="008A1066">
        <w:t>are</w:t>
      </w:r>
      <w:r>
        <w:t xml:space="preserve"> no 2014 data; this has been corrected and is repeated throughout this project.</w:t>
      </w:r>
    </w:p>
    <w:p w14:paraId="4B9F49B9" w14:textId="77777777" w:rsidR="00CD5869" w:rsidRDefault="00CD5869" w:rsidP="00CD5869">
      <w:r>
        <w:t>Learners will get hands-on practice using a Momentum signal and learn how to build a portfolio for investment.</w:t>
      </w:r>
    </w:p>
    <w:p w14:paraId="38DC1F9D" w14:textId="77777777" w:rsidR="00CD5869" w:rsidRDefault="00CD5869" w:rsidP="00CD5869">
      <w:r>
        <w:lastRenderedPageBreak/>
        <w:t>The Stocks were ranked by their stock prices' trailing six-month cumulative returns at the end of every formation month. The signal is only available in July 2015, after 6 months of previous returns. In each rebalancing interval the Top N most ranked stocks on the ranking were added to an equal-weighted portfolio and kept until the next rebalancing date.</w:t>
      </w:r>
    </w:p>
    <w:p w14:paraId="6FB5A8F7" w14:textId="77777777" w:rsidR="00CD5869" w:rsidRDefault="00CD5869" w:rsidP="00CD5869">
      <w:r>
        <w:t>There was a practical issue to consider regarding the 'holding period' (as stated in the original brief as being 12 months) and three different frequencies of rebalancing. The research question is specific on comparing rebalancing frequencies; thus, the holding period between reformations was equal to the rebalancing frequency – 12 months for annual, 6 months for semi-annual, and 3 months for quarterly. This ensures that the scenarios remain consistent with one another: each scenario contains exactly the same 6-month formation signal, with the only difference between the scenarios being the frequency of the occurrences of that signal.</w:t>
      </w:r>
    </w:p>
    <w:p w14:paraId="27201141" w14:textId="6C35858F" w:rsidR="00CD5869" w:rsidRPr="008A1066" w:rsidRDefault="00CD5869" w:rsidP="00CD5869">
      <w:pPr>
        <w:rPr>
          <w:b/>
          <w:bCs/>
          <w:sz w:val="28"/>
          <w:szCs w:val="28"/>
        </w:rPr>
      </w:pPr>
      <w:r w:rsidRPr="008A1066">
        <w:rPr>
          <w:b/>
          <w:bCs/>
          <w:sz w:val="28"/>
          <w:szCs w:val="28"/>
        </w:rPr>
        <w:t>3.</w:t>
      </w:r>
      <w:r w:rsidR="008A1066" w:rsidRPr="008A1066">
        <w:rPr>
          <w:b/>
          <w:bCs/>
          <w:sz w:val="28"/>
          <w:szCs w:val="28"/>
        </w:rPr>
        <w:t>2</w:t>
      </w:r>
      <w:r w:rsidRPr="008A1066">
        <w:rPr>
          <w:b/>
          <w:bCs/>
          <w:sz w:val="28"/>
          <w:szCs w:val="28"/>
        </w:rPr>
        <w:t xml:space="preserve"> Transaction Costs and CGT</w:t>
      </w:r>
    </w:p>
    <w:p w14:paraId="1442B877" w14:textId="77777777" w:rsidR="00CD5869" w:rsidRDefault="00CD5869" w:rsidP="00CD5869">
      <w:r>
        <w:t xml:space="preserve">The whole-portfolio turnover was used in the calculations; in other words, all the components of the portfolio are deemed to be sold and resold anew at each rebalance instead of having the portfolio turnover at any varying portion of the change caused by the addition or subtraction of the individual holdings. It's a simple assumption but it's reasonable and conservative on a momentum strategy of this size as for the 8 stocks plus Top 2/3/5 selections, the stock volume is likely to shift considerably even when using the strategy at rebalance. The first month of a new holding period amounts </w:t>
      </w:r>
      <w:proofErr w:type="gramStart"/>
      <w:r>
        <w:t>is</w:t>
      </w:r>
      <w:proofErr w:type="gramEnd"/>
      <w:r>
        <w:t xml:space="preserve"> deducted from the portfolio returns for the round-trip transaction cost, which is a 0.35% of the transaction value based on the brokerage and CDC charges (on both sell and buy).</w:t>
      </w:r>
    </w:p>
    <w:p w14:paraId="5EAB7C81" w14:textId="77777777" w:rsidR="00CD5869" w:rsidRDefault="00CD5869" w:rsidP="00CD5869">
      <w:r>
        <w:t>The same points were used for the application of CGT on realised gains. The longest holding period analysed was 12 months but the CGT brackets are treated by applying them to whole years of holding, so in each of the scenarios, every position was in the bracket &lt; 1 year (15%), which was applied to the overall increase in value of that holding period where an overall increase has occurred — this simplified modelling approach must be highlighted, as a loss within a holding period could offset any gains within another holding period (also another shortened modelling simplification). This configuration yields certain tangible side effects, most obviously by increasing the frequency in which gains are realised, thus increasing either the number of CGT events, or the amount of taxable gain, generated, even though the underlying tax rate is not altered in any of the scenarios below — indeed, one of the reasons the below results are structured is to see that they might be viewed that way.</w:t>
      </w:r>
    </w:p>
    <w:p w14:paraId="73D44171" w14:textId="2A5FBF4D" w:rsidR="00CD5869" w:rsidRPr="008A1066" w:rsidRDefault="00CD5869" w:rsidP="00CD5869">
      <w:pPr>
        <w:rPr>
          <w:b/>
          <w:bCs/>
          <w:sz w:val="28"/>
          <w:szCs w:val="28"/>
        </w:rPr>
      </w:pPr>
      <w:r w:rsidRPr="008A1066">
        <w:rPr>
          <w:b/>
          <w:bCs/>
          <w:sz w:val="28"/>
          <w:szCs w:val="28"/>
        </w:rPr>
        <w:t>3.</w:t>
      </w:r>
      <w:r w:rsidR="008A1066">
        <w:rPr>
          <w:b/>
          <w:bCs/>
          <w:sz w:val="28"/>
          <w:szCs w:val="28"/>
        </w:rPr>
        <w:t>3</w:t>
      </w:r>
      <w:r w:rsidRPr="008A1066">
        <w:rPr>
          <w:b/>
          <w:bCs/>
          <w:sz w:val="28"/>
          <w:szCs w:val="28"/>
        </w:rPr>
        <w:t xml:space="preserve"> Risk-Adjusted Performance Metrics</w:t>
      </w:r>
    </w:p>
    <w:p w14:paraId="30DF916D" w14:textId="77777777" w:rsidR="00CD5869" w:rsidRDefault="00CD5869" w:rsidP="00CD5869">
      <w:r>
        <w:t xml:space="preserve">The annualised return, annualised volatility, Sharpe ratio (using monthly risk-free rate) in each case, maximum drawdown (in per cent based on the peak and a trough in the net monthly return series) and CAPM alpha and beta (based on the regression of monthly excess portfolio returns on monthly excess KSE-100 returns) were computed for each of the nine </w:t>
      </w:r>
      <w:r>
        <w:lastRenderedPageBreak/>
        <w:t>scenarios. For comparative purposes, the same data were calculated for the KSE-100 benchmark using the same time period.</w:t>
      </w:r>
    </w:p>
    <w:p w14:paraId="0BDAC25D" w14:textId="6C602E9A" w:rsidR="00CD5869" w:rsidRPr="008A1066" w:rsidRDefault="00CD5869" w:rsidP="00CD5869">
      <w:pPr>
        <w:rPr>
          <w:b/>
          <w:bCs/>
          <w:sz w:val="28"/>
          <w:szCs w:val="28"/>
        </w:rPr>
      </w:pPr>
      <w:r w:rsidRPr="008A1066">
        <w:rPr>
          <w:b/>
          <w:bCs/>
          <w:sz w:val="28"/>
          <w:szCs w:val="28"/>
        </w:rPr>
        <w:t>3.</w:t>
      </w:r>
      <w:r w:rsidR="008A1066" w:rsidRPr="008A1066">
        <w:rPr>
          <w:b/>
          <w:bCs/>
          <w:sz w:val="28"/>
          <w:szCs w:val="28"/>
        </w:rPr>
        <w:t>4</w:t>
      </w:r>
      <w:r w:rsidRPr="008A1066">
        <w:rPr>
          <w:b/>
          <w:bCs/>
          <w:sz w:val="28"/>
          <w:szCs w:val="28"/>
        </w:rPr>
        <w:t xml:space="preserve"> Limitations</w:t>
      </w:r>
    </w:p>
    <w:p w14:paraId="625F335D" w14:textId="77777777" w:rsidR="00CD5869" w:rsidRDefault="00CD5869" w:rsidP="00CD5869">
      <w:r>
        <w:t xml:space="preserve">Some caveats are in order to be clear. First, there is only 8 stocks and only 10 stocks are involved in each window, so there are just a few independent formation/holding cycles (numbers will be fewer in annual cases, as there will be fewer stocks involved in each formation/holding scenario), so in essence, the results are consistent, but with minimal stocks and short window, they should not be considered statistically representative like a market-wide study with hundreds of stocks. Secondly, eight stocks were selected for this collection due to their </w:t>
      </w:r>
      <w:proofErr w:type="spellStart"/>
      <w:r>
        <w:t>contemporisation</w:t>
      </w:r>
      <w:proofErr w:type="spellEnd"/>
      <w:r>
        <w:t>, liquid, large cap, thus secondly there is a survivorship bias when applied at a retrospective level, for the entire ten years. Third, the Top 2 portfolios are concentrated and the outcome of these portfolios is much dependent on the performance of one or two names. None of these have any impact on the internal validity of the original question of the rebalancing frequency, but they do restrain the generalisability of the absolute return numbers.</w:t>
      </w:r>
    </w:p>
    <w:p w14:paraId="7E869A44" w14:textId="38EB7BAA" w:rsidR="00CD5869" w:rsidRPr="008A1066" w:rsidRDefault="00CD5869" w:rsidP="00CD5869">
      <w:pPr>
        <w:pStyle w:val="Heading2"/>
        <w:rPr>
          <w:b/>
          <w:bCs/>
          <w:sz w:val="28"/>
          <w:szCs w:val="28"/>
        </w:rPr>
      </w:pPr>
      <w:r w:rsidRPr="008A1066">
        <w:rPr>
          <w:b/>
          <w:bCs/>
          <w:sz w:val="28"/>
          <w:szCs w:val="28"/>
        </w:rPr>
        <w:t>3.</w:t>
      </w:r>
      <w:r w:rsidR="008A1066" w:rsidRPr="008A1066">
        <w:rPr>
          <w:b/>
          <w:bCs/>
          <w:sz w:val="28"/>
          <w:szCs w:val="28"/>
        </w:rPr>
        <w:t>5</w:t>
      </w:r>
      <w:r w:rsidRPr="008A1066">
        <w:rPr>
          <w:b/>
          <w:bCs/>
          <w:sz w:val="28"/>
          <w:szCs w:val="28"/>
        </w:rPr>
        <w:t xml:space="preserve"> Summary of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CD5869" w14:paraId="448CAB9B" w14:textId="77777777" w:rsidTr="00D669DA">
        <w:trPr>
          <w:tblHeader/>
        </w:trPr>
        <w:tc>
          <w:tcPr>
            <w:tcW w:w="5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0CD91A4B" w14:textId="77777777" w:rsidR="00CD5869" w:rsidRDefault="00CD5869" w:rsidP="00D669DA">
            <w:r>
              <w:rPr>
                <w:b/>
                <w:bCs/>
                <w:color w:val="FFFFFF"/>
                <w:sz w:val="19"/>
                <w:szCs w:val="19"/>
              </w:rPr>
              <w:t>Parameter</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FD25ED2" w14:textId="77777777" w:rsidR="00CD5869" w:rsidRDefault="00CD5869" w:rsidP="00D669DA">
            <w:r>
              <w:rPr>
                <w:b/>
                <w:bCs/>
                <w:color w:val="FFFFFF"/>
                <w:sz w:val="19"/>
                <w:szCs w:val="19"/>
              </w:rPr>
              <w:t>Value</w:t>
            </w:r>
          </w:p>
        </w:tc>
      </w:tr>
      <w:tr w:rsidR="00CD5869" w14:paraId="30506B54" w14:textId="77777777" w:rsidTr="00D669DA">
        <w:tc>
          <w:tcPr>
            <w:tcW w:w="5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A022F6" w14:textId="77777777" w:rsidR="00CD5869" w:rsidRDefault="00CD5869" w:rsidP="00D669DA">
            <w:r>
              <w:rPr>
                <w:color w:val="000000"/>
                <w:sz w:val="19"/>
                <w:szCs w:val="19"/>
              </w:rPr>
              <w:t>Formation period</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16A266A" w14:textId="77777777" w:rsidR="00CD5869" w:rsidRDefault="00CD5869" w:rsidP="00D669DA">
            <w:r>
              <w:rPr>
                <w:color w:val="000000"/>
                <w:sz w:val="19"/>
                <w:szCs w:val="19"/>
              </w:rPr>
              <w:t>6 months (trailing return)</w:t>
            </w:r>
          </w:p>
        </w:tc>
      </w:tr>
      <w:tr w:rsidR="00CD5869" w14:paraId="11C6C365" w14:textId="77777777" w:rsidTr="00D669DA">
        <w:tc>
          <w:tcPr>
            <w:tcW w:w="5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8323F8C" w14:textId="77777777" w:rsidR="00CD5869" w:rsidRDefault="00CD5869" w:rsidP="00D669DA">
            <w:r>
              <w:rPr>
                <w:color w:val="000000"/>
                <w:sz w:val="19"/>
                <w:szCs w:val="19"/>
              </w:rPr>
              <w:t>Holding period</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ABCA304" w14:textId="77777777" w:rsidR="00CD5869" w:rsidRDefault="00CD5869" w:rsidP="00D669DA">
            <w:r>
              <w:rPr>
                <w:color w:val="000000"/>
                <w:sz w:val="19"/>
                <w:szCs w:val="19"/>
              </w:rPr>
              <w:t>Equal to rebalancing interval (12 / 6 / 3 months)</w:t>
            </w:r>
          </w:p>
        </w:tc>
      </w:tr>
      <w:tr w:rsidR="00CD5869" w14:paraId="14C71AFF" w14:textId="77777777" w:rsidTr="00D669DA">
        <w:tc>
          <w:tcPr>
            <w:tcW w:w="5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142C599" w14:textId="77777777" w:rsidR="00CD5869" w:rsidRDefault="00CD5869" w:rsidP="00D669DA">
            <w:r>
              <w:rPr>
                <w:color w:val="000000"/>
                <w:sz w:val="19"/>
                <w:szCs w:val="19"/>
              </w:rPr>
              <w:t>Portfolio sizes tested</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9A33222" w14:textId="77777777" w:rsidR="00CD5869" w:rsidRDefault="00CD5869" w:rsidP="00D669DA">
            <w:r>
              <w:rPr>
                <w:color w:val="000000"/>
                <w:sz w:val="19"/>
                <w:szCs w:val="19"/>
              </w:rPr>
              <w:t>Top 2, Top 3, Top 5 (equal-weighted)</w:t>
            </w:r>
          </w:p>
        </w:tc>
      </w:tr>
      <w:tr w:rsidR="00CD5869" w14:paraId="1FB50D51" w14:textId="77777777" w:rsidTr="00D669DA">
        <w:tc>
          <w:tcPr>
            <w:tcW w:w="5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563578B" w14:textId="77777777" w:rsidR="00CD5869" w:rsidRDefault="00CD5869" w:rsidP="00D669DA">
            <w:r>
              <w:rPr>
                <w:color w:val="000000"/>
                <w:sz w:val="19"/>
                <w:szCs w:val="19"/>
              </w:rPr>
              <w:t>Rebalancing frequencies</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F223E19" w14:textId="7B7A0928" w:rsidR="00CD5869" w:rsidRDefault="00CD5869" w:rsidP="00D669DA">
            <w:r>
              <w:rPr>
                <w:color w:val="000000"/>
                <w:sz w:val="19"/>
                <w:szCs w:val="19"/>
              </w:rPr>
              <w:t xml:space="preserve">Annual, Semi-Annual, </w:t>
            </w:r>
            <w:r w:rsidR="008A1066">
              <w:rPr>
                <w:color w:val="000000"/>
                <w:sz w:val="19"/>
                <w:szCs w:val="19"/>
              </w:rPr>
              <w:t>quarterly</w:t>
            </w:r>
          </w:p>
        </w:tc>
      </w:tr>
      <w:tr w:rsidR="00CD5869" w14:paraId="7A5596B5" w14:textId="77777777" w:rsidTr="00D669DA">
        <w:tc>
          <w:tcPr>
            <w:tcW w:w="5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FCC93CB" w14:textId="77777777" w:rsidR="00CD5869" w:rsidRDefault="00CD5869" w:rsidP="00D669DA">
            <w:r>
              <w:rPr>
                <w:color w:val="000000"/>
                <w:sz w:val="19"/>
                <w:szCs w:val="19"/>
              </w:rPr>
              <w:t>Transaction cost</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64EDBDD" w14:textId="77777777" w:rsidR="00CD5869" w:rsidRDefault="00CD5869" w:rsidP="00D669DA">
            <w:r>
              <w:rPr>
                <w:color w:val="000000"/>
                <w:sz w:val="19"/>
                <w:szCs w:val="19"/>
              </w:rPr>
              <w:t>0.35% per trade (0.25% brokerage + 0.10% CDC), full round-trip turnover assumed at each rebalance</w:t>
            </w:r>
          </w:p>
        </w:tc>
      </w:tr>
      <w:tr w:rsidR="00CD5869" w14:paraId="18D0C925" w14:textId="77777777" w:rsidTr="00D669DA">
        <w:tc>
          <w:tcPr>
            <w:tcW w:w="5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0838D66" w14:textId="77777777" w:rsidR="00CD5869" w:rsidRDefault="00CD5869" w:rsidP="00D669DA">
            <w:r>
              <w:rPr>
                <w:color w:val="000000"/>
                <w:sz w:val="19"/>
                <w:szCs w:val="19"/>
              </w:rPr>
              <w:t>CGT</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1D44E69" w14:textId="77777777" w:rsidR="00CD5869" w:rsidRDefault="00CD5869" w:rsidP="00D669DA">
            <w:r>
              <w:rPr>
                <w:color w:val="000000"/>
                <w:sz w:val="19"/>
                <w:szCs w:val="19"/>
              </w:rPr>
              <w:t>15% on realised gains (all holding intervals fall under 12 months under the full-turnover assumption)</w:t>
            </w:r>
          </w:p>
        </w:tc>
      </w:tr>
      <w:tr w:rsidR="00CD5869" w14:paraId="5DB5093C" w14:textId="77777777" w:rsidTr="00D669DA">
        <w:tc>
          <w:tcPr>
            <w:tcW w:w="5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C1505C" w14:textId="77777777" w:rsidR="00CD5869" w:rsidRDefault="00CD5869" w:rsidP="00D669DA">
            <w:r>
              <w:rPr>
                <w:color w:val="000000"/>
                <w:sz w:val="19"/>
                <w:szCs w:val="19"/>
              </w:rPr>
              <w:t>Benchmark</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F348A93" w14:textId="77777777" w:rsidR="00CD5869" w:rsidRDefault="00CD5869" w:rsidP="00D669DA">
            <w:r>
              <w:rPr>
                <w:color w:val="000000"/>
                <w:sz w:val="19"/>
                <w:szCs w:val="19"/>
              </w:rPr>
              <w:t>KSE-100 Index</w:t>
            </w:r>
          </w:p>
        </w:tc>
      </w:tr>
      <w:tr w:rsidR="00CD5869" w14:paraId="3131CC09" w14:textId="77777777" w:rsidTr="00D669DA">
        <w:tc>
          <w:tcPr>
            <w:tcW w:w="5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53028DA" w14:textId="77777777" w:rsidR="00CD5869" w:rsidRDefault="00CD5869" w:rsidP="00D669DA">
            <w:r>
              <w:rPr>
                <w:color w:val="000000"/>
                <w:sz w:val="19"/>
                <w:szCs w:val="19"/>
              </w:rPr>
              <w:t>Risk-free rate</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39BF5CF" w14:textId="77777777" w:rsidR="00CD5869" w:rsidRDefault="00CD5869" w:rsidP="00D669DA">
            <w:r>
              <w:rPr>
                <w:color w:val="000000"/>
                <w:sz w:val="19"/>
                <w:szCs w:val="19"/>
              </w:rPr>
              <w:t>3-Month T-Bill yield, converted to a monthly equivalent</w:t>
            </w:r>
          </w:p>
        </w:tc>
      </w:tr>
      <w:tr w:rsidR="00CD5869" w14:paraId="72D4C5A7" w14:textId="77777777" w:rsidTr="00D669DA">
        <w:tc>
          <w:tcPr>
            <w:tcW w:w="5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E6D33D5" w14:textId="77777777" w:rsidR="00CD5869" w:rsidRDefault="00CD5869" w:rsidP="00D669DA">
            <w:r>
              <w:rPr>
                <w:color w:val="000000"/>
                <w:sz w:val="19"/>
                <w:szCs w:val="19"/>
              </w:rPr>
              <w:t>Sample period</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E6A65EC" w14:textId="77777777" w:rsidR="00CD5869" w:rsidRDefault="00CD5869" w:rsidP="00D669DA">
            <w:r>
              <w:rPr>
                <w:color w:val="000000"/>
                <w:sz w:val="19"/>
                <w:szCs w:val="19"/>
              </w:rPr>
              <w:t>August 2015 – December 2024 (113 holding months), following a 6-month formation window applied to Jan 2015 – Dec 2024 price data</w:t>
            </w:r>
          </w:p>
        </w:tc>
      </w:tr>
    </w:tbl>
    <w:p w14:paraId="757039E0" w14:textId="465679AC" w:rsidR="00CD5869" w:rsidRDefault="00CD5869" w:rsidP="00CD5869"/>
    <w:p w14:paraId="56E3BC0E" w14:textId="77777777" w:rsidR="00CD5869" w:rsidRPr="008A1066" w:rsidRDefault="00CD5869" w:rsidP="00CD5869">
      <w:pPr>
        <w:pStyle w:val="Heading1"/>
        <w:rPr>
          <w:b/>
          <w:bCs/>
          <w:color w:val="000000" w:themeColor="text1"/>
          <w:sz w:val="36"/>
          <w:szCs w:val="36"/>
        </w:rPr>
      </w:pPr>
      <w:r w:rsidRPr="008A1066">
        <w:rPr>
          <w:b/>
          <w:bCs/>
          <w:color w:val="000000" w:themeColor="text1"/>
          <w:sz w:val="36"/>
          <w:szCs w:val="36"/>
        </w:rPr>
        <w:lastRenderedPageBreak/>
        <w:t>4. Results</w:t>
      </w:r>
    </w:p>
    <w:p w14:paraId="79B2551A" w14:textId="77777777" w:rsidR="00CD5869" w:rsidRDefault="00CD5869" w:rsidP="00CD5869">
      <w:pPr>
        <w:spacing w:line="276" w:lineRule="auto"/>
        <w:jc w:val="both"/>
      </w:pPr>
      <w:r>
        <w:t>Table 1 summarises the risk-adjusted performance of all nine portfolio/rebalancing combinations, alongside the KSE-100 benchmark, over the August 2015 to December 2024 holding period (113 months).</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428"/>
        <w:gridCol w:w="1208"/>
        <w:gridCol w:w="1098"/>
        <w:gridCol w:w="1098"/>
        <w:gridCol w:w="879"/>
        <w:gridCol w:w="989"/>
        <w:gridCol w:w="769"/>
        <w:gridCol w:w="1098"/>
        <w:gridCol w:w="1384"/>
      </w:tblGrid>
      <w:tr w:rsidR="00CD5869" w14:paraId="03AC5179" w14:textId="77777777" w:rsidTr="00D669DA">
        <w:trPr>
          <w:tblHeader/>
        </w:trPr>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4977B57D" w14:textId="77777777" w:rsidR="00CD5869" w:rsidRDefault="00CD5869" w:rsidP="00D669DA">
            <w:pPr>
              <w:jc w:val="center"/>
            </w:pPr>
            <w:r>
              <w:rPr>
                <w:b/>
                <w:bCs/>
                <w:color w:val="FFFFFF"/>
                <w:sz w:val="19"/>
                <w:szCs w:val="19"/>
              </w:rPr>
              <w:t>Portfolio</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107A5DBF" w14:textId="77777777" w:rsidR="00CD5869" w:rsidRDefault="00CD5869" w:rsidP="00D669DA">
            <w:pPr>
              <w:jc w:val="center"/>
            </w:pPr>
            <w:r>
              <w:rPr>
                <w:b/>
                <w:bCs/>
                <w:color w:val="FFFFFF"/>
                <w:sz w:val="19"/>
                <w:szCs w:val="19"/>
              </w:rPr>
              <w:t>Rebalancing</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416B19FD" w14:textId="77777777" w:rsidR="00CD5869" w:rsidRDefault="00CD5869" w:rsidP="00D669DA">
            <w:pPr>
              <w:jc w:val="center"/>
            </w:pPr>
            <w:r>
              <w:rPr>
                <w:b/>
                <w:bCs/>
                <w:color w:val="FFFFFF"/>
                <w:sz w:val="19"/>
                <w:szCs w:val="19"/>
              </w:rPr>
              <w:t>Final Value (Rs.1)</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44D0E231" w14:textId="77777777" w:rsidR="00CD5869" w:rsidRDefault="00CD5869" w:rsidP="00D669DA">
            <w:pPr>
              <w:jc w:val="center"/>
            </w:pPr>
            <w:r>
              <w:rPr>
                <w:b/>
                <w:bCs/>
                <w:color w:val="FFFFFF"/>
                <w:sz w:val="19"/>
                <w:szCs w:val="19"/>
              </w:rPr>
              <w:t>Ann. Return</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1C823F21" w14:textId="77777777" w:rsidR="00CD5869" w:rsidRDefault="00CD5869" w:rsidP="00D669DA">
            <w:pPr>
              <w:jc w:val="center"/>
            </w:pPr>
            <w:r>
              <w:rPr>
                <w:b/>
                <w:bCs/>
                <w:color w:val="FFFFFF"/>
                <w:sz w:val="19"/>
                <w:szCs w:val="19"/>
              </w:rPr>
              <w:t>Ann. Vol.</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4BBC99D9" w14:textId="77777777" w:rsidR="00CD5869" w:rsidRDefault="00CD5869" w:rsidP="00D669DA">
            <w:pPr>
              <w:jc w:val="center"/>
            </w:pPr>
            <w:r>
              <w:rPr>
                <w:b/>
                <w:bCs/>
                <w:color w:val="FFFFFF"/>
                <w:sz w:val="19"/>
                <w:szCs w:val="19"/>
              </w:rPr>
              <w:t>Sharpe</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1D66F0E7" w14:textId="77777777" w:rsidR="00CD5869" w:rsidRDefault="00CD5869" w:rsidP="00D669DA">
            <w:pPr>
              <w:jc w:val="center"/>
            </w:pPr>
            <w:r>
              <w:rPr>
                <w:b/>
                <w:bCs/>
                <w:color w:val="FFFFFF"/>
                <w:sz w:val="19"/>
                <w:szCs w:val="19"/>
              </w:rPr>
              <w:t>Max DD</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113483F2" w14:textId="77777777" w:rsidR="00CD5869" w:rsidRDefault="00CD5869" w:rsidP="00D669DA">
            <w:pPr>
              <w:jc w:val="center"/>
            </w:pPr>
            <w:r>
              <w:rPr>
                <w:b/>
                <w:bCs/>
                <w:color w:val="FFFFFF"/>
                <w:sz w:val="19"/>
                <w:szCs w:val="19"/>
              </w:rPr>
              <w:t>Beta</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26B68CF8" w14:textId="77777777" w:rsidR="00CD5869" w:rsidRDefault="00CD5869" w:rsidP="00D669DA">
            <w:pPr>
              <w:jc w:val="center"/>
            </w:pPr>
            <w:r>
              <w:rPr>
                <w:b/>
                <w:bCs/>
                <w:color w:val="FFFFFF"/>
                <w:sz w:val="19"/>
                <w:szCs w:val="19"/>
              </w:rPr>
              <w:t>Alpha (ann.)</w:t>
            </w:r>
          </w:p>
        </w:tc>
        <w:tc>
          <w:tcPr>
            <w:tcW w:w="1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444AC675" w14:textId="77777777" w:rsidR="00CD5869" w:rsidRDefault="00CD5869" w:rsidP="00D669DA">
            <w:pPr>
              <w:jc w:val="center"/>
            </w:pPr>
            <w:r>
              <w:rPr>
                <w:b/>
                <w:bCs/>
                <w:color w:val="FFFFFF"/>
                <w:sz w:val="19"/>
                <w:szCs w:val="19"/>
              </w:rPr>
              <w:t>Excess vs KSE-100</w:t>
            </w:r>
          </w:p>
        </w:tc>
      </w:tr>
      <w:tr w:rsidR="00CD5869" w14:paraId="5BE447E6" w14:textId="77777777" w:rsidTr="00D669DA">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4BE2FB4" w14:textId="77777777" w:rsidR="00CD5869" w:rsidRDefault="00CD5869" w:rsidP="00D669DA">
            <w:r>
              <w:rPr>
                <w:color w:val="000000"/>
                <w:sz w:val="19"/>
                <w:szCs w:val="19"/>
              </w:rPr>
              <w:t>Top 2</w:t>
            </w:r>
          </w:p>
        </w:tc>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F38CE55" w14:textId="77777777" w:rsidR="00CD5869" w:rsidRDefault="00CD5869" w:rsidP="00D669DA">
            <w:r>
              <w:rPr>
                <w:color w:val="000000"/>
                <w:sz w:val="19"/>
                <w:szCs w:val="19"/>
              </w:rPr>
              <w:t>Annual</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150405D" w14:textId="77777777" w:rsidR="00CD5869" w:rsidRDefault="00CD5869" w:rsidP="00D669DA">
            <w:pPr>
              <w:jc w:val="center"/>
            </w:pPr>
            <w:r>
              <w:rPr>
                <w:color w:val="000000"/>
                <w:sz w:val="19"/>
                <w:szCs w:val="19"/>
              </w:rPr>
              <w:t>9.50</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EC1ED13" w14:textId="77777777" w:rsidR="00CD5869" w:rsidRDefault="00CD5869" w:rsidP="00D669DA">
            <w:pPr>
              <w:jc w:val="center"/>
            </w:pPr>
            <w:r>
              <w:rPr>
                <w:color w:val="000000"/>
                <w:sz w:val="19"/>
                <w:szCs w:val="19"/>
              </w:rPr>
              <w:t>27.01%</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0B0E213" w14:textId="77777777" w:rsidR="00CD5869" w:rsidRDefault="00CD5869" w:rsidP="00D669DA">
            <w:pPr>
              <w:jc w:val="center"/>
            </w:pPr>
            <w:r>
              <w:rPr>
                <w:color w:val="000000"/>
                <w:sz w:val="19"/>
                <w:szCs w:val="19"/>
              </w:rPr>
              <w:t>38.12%</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tcPr>
          <w:p w14:paraId="1CDDA329" w14:textId="77777777" w:rsidR="00CD5869" w:rsidRDefault="00CD5869" w:rsidP="00D669DA">
            <w:pPr>
              <w:jc w:val="center"/>
            </w:pPr>
            <w:r>
              <w:rPr>
                <w:color w:val="000000"/>
                <w:sz w:val="19"/>
                <w:szCs w:val="19"/>
              </w:rPr>
              <w:t>0.56</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DC90E78" w14:textId="77777777" w:rsidR="00CD5869" w:rsidRDefault="00CD5869" w:rsidP="00D669DA">
            <w:pPr>
              <w:jc w:val="center"/>
            </w:pPr>
            <w:r>
              <w:rPr>
                <w:color w:val="000000"/>
                <w:sz w:val="19"/>
                <w:szCs w:val="19"/>
              </w:rPr>
              <w:t>-53.94%</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53D0E3D" w14:textId="77777777" w:rsidR="00CD5869" w:rsidRDefault="00CD5869" w:rsidP="00D669DA">
            <w:pPr>
              <w:jc w:val="center"/>
            </w:pPr>
            <w:r>
              <w:rPr>
                <w:color w:val="000000"/>
                <w:sz w:val="19"/>
                <w:szCs w:val="19"/>
              </w:rPr>
              <w:t>1.18</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25806F6" w14:textId="77777777" w:rsidR="00CD5869" w:rsidRDefault="00CD5869" w:rsidP="00D669DA">
            <w:pPr>
              <w:jc w:val="center"/>
            </w:pPr>
            <w:r>
              <w:rPr>
                <w:color w:val="000000"/>
                <w:sz w:val="19"/>
                <w:szCs w:val="19"/>
              </w:rPr>
              <w:t>13.81%</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60FEC2C" w14:textId="77777777" w:rsidR="00CD5869" w:rsidRDefault="00CD5869" w:rsidP="00D669DA">
            <w:pPr>
              <w:jc w:val="center"/>
            </w:pPr>
            <w:r>
              <w:rPr>
                <w:color w:val="000000"/>
                <w:sz w:val="19"/>
                <w:szCs w:val="19"/>
              </w:rPr>
              <w:t>13.78%</w:t>
            </w:r>
          </w:p>
        </w:tc>
      </w:tr>
      <w:tr w:rsidR="00CD5869" w14:paraId="4719CF43" w14:textId="77777777" w:rsidTr="00D669DA">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FA71C64" w14:textId="77777777" w:rsidR="00CD5869" w:rsidRDefault="00CD5869" w:rsidP="00D669DA">
            <w:r>
              <w:rPr>
                <w:color w:val="000000"/>
                <w:sz w:val="19"/>
                <w:szCs w:val="19"/>
              </w:rPr>
              <w:t>Top 2</w:t>
            </w:r>
          </w:p>
        </w:tc>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8F9205D" w14:textId="77777777" w:rsidR="00CD5869" w:rsidRDefault="00CD5869" w:rsidP="00D669DA">
            <w:r>
              <w:rPr>
                <w:color w:val="000000"/>
                <w:sz w:val="19"/>
                <w:szCs w:val="19"/>
              </w:rPr>
              <w:t>Semi-Annual</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85B692C" w14:textId="77777777" w:rsidR="00CD5869" w:rsidRDefault="00CD5869" w:rsidP="00D669DA">
            <w:pPr>
              <w:jc w:val="center"/>
            </w:pPr>
            <w:r>
              <w:rPr>
                <w:color w:val="000000"/>
                <w:sz w:val="19"/>
                <w:szCs w:val="19"/>
              </w:rPr>
              <w:t>3.10</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5DEB192" w14:textId="77777777" w:rsidR="00CD5869" w:rsidRDefault="00CD5869" w:rsidP="00D669DA">
            <w:pPr>
              <w:jc w:val="center"/>
            </w:pPr>
            <w:r>
              <w:rPr>
                <w:color w:val="000000"/>
                <w:sz w:val="19"/>
                <w:szCs w:val="19"/>
              </w:rPr>
              <w:t>12.76%</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B4F2028" w14:textId="77777777" w:rsidR="00CD5869" w:rsidRDefault="00CD5869" w:rsidP="00D669DA">
            <w:pPr>
              <w:jc w:val="center"/>
            </w:pPr>
            <w:r>
              <w:rPr>
                <w:color w:val="000000"/>
                <w:sz w:val="19"/>
                <w:szCs w:val="19"/>
              </w:rPr>
              <w:t>33.70%</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5916A83" w14:textId="77777777" w:rsidR="00CD5869" w:rsidRDefault="00CD5869" w:rsidP="00D669DA">
            <w:pPr>
              <w:jc w:val="center"/>
            </w:pPr>
            <w:r>
              <w:rPr>
                <w:color w:val="000000"/>
                <w:sz w:val="19"/>
                <w:szCs w:val="19"/>
              </w:rPr>
              <w:t>0.21</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6AFDE1D" w14:textId="77777777" w:rsidR="00CD5869" w:rsidRDefault="00CD5869" w:rsidP="00D669DA">
            <w:pPr>
              <w:jc w:val="center"/>
            </w:pPr>
            <w:r>
              <w:rPr>
                <w:color w:val="000000"/>
                <w:sz w:val="19"/>
                <w:szCs w:val="19"/>
              </w:rPr>
              <w:t>-52.82%</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3E8ACB1" w14:textId="77777777" w:rsidR="00CD5869" w:rsidRDefault="00CD5869" w:rsidP="00D669DA">
            <w:pPr>
              <w:jc w:val="center"/>
            </w:pPr>
            <w:r>
              <w:rPr>
                <w:color w:val="000000"/>
                <w:sz w:val="19"/>
                <w:szCs w:val="19"/>
              </w:rPr>
              <w:t>1.14</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035D7F2" w14:textId="77777777" w:rsidR="00CD5869" w:rsidRDefault="00CD5869" w:rsidP="00D669DA">
            <w:pPr>
              <w:jc w:val="center"/>
            </w:pPr>
            <w:r>
              <w:rPr>
                <w:color w:val="000000"/>
                <w:sz w:val="19"/>
                <w:szCs w:val="19"/>
              </w:rPr>
              <w:t>-0.47%</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AA29FF" w14:textId="77777777" w:rsidR="00CD5869" w:rsidRDefault="00CD5869" w:rsidP="00D669DA">
            <w:pPr>
              <w:jc w:val="center"/>
            </w:pPr>
            <w:r>
              <w:rPr>
                <w:color w:val="000000"/>
                <w:sz w:val="19"/>
                <w:szCs w:val="19"/>
              </w:rPr>
              <w:t>-0.47%</w:t>
            </w:r>
          </w:p>
        </w:tc>
      </w:tr>
      <w:tr w:rsidR="00CD5869" w14:paraId="589CFC54" w14:textId="77777777" w:rsidTr="00D669DA">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4311CF3" w14:textId="77777777" w:rsidR="00CD5869" w:rsidRDefault="00CD5869" w:rsidP="00D669DA">
            <w:r>
              <w:rPr>
                <w:color w:val="000000"/>
                <w:sz w:val="19"/>
                <w:szCs w:val="19"/>
              </w:rPr>
              <w:t>Top 2</w:t>
            </w:r>
          </w:p>
        </w:tc>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B30676D" w14:textId="77777777" w:rsidR="00CD5869" w:rsidRDefault="00CD5869" w:rsidP="00D669DA">
            <w:r>
              <w:rPr>
                <w:color w:val="000000"/>
                <w:sz w:val="19"/>
                <w:szCs w:val="19"/>
              </w:rPr>
              <w:t>Quarterly</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AFC8F92" w14:textId="77777777" w:rsidR="00CD5869" w:rsidRDefault="00CD5869" w:rsidP="00D669DA">
            <w:pPr>
              <w:jc w:val="center"/>
            </w:pPr>
            <w:r>
              <w:rPr>
                <w:color w:val="000000"/>
                <w:sz w:val="19"/>
                <w:szCs w:val="19"/>
              </w:rPr>
              <w:t>1.79</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61CBF1D" w14:textId="77777777" w:rsidR="00CD5869" w:rsidRDefault="00CD5869" w:rsidP="00D669DA">
            <w:pPr>
              <w:jc w:val="center"/>
            </w:pPr>
            <w:r>
              <w:rPr>
                <w:color w:val="000000"/>
                <w:sz w:val="19"/>
                <w:szCs w:val="19"/>
              </w:rPr>
              <w:t>6.38%</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7DC84BD" w14:textId="77777777" w:rsidR="00CD5869" w:rsidRDefault="00CD5869" w:rsidP="00D669DA">
            <w:pPr>
              <w:jc w:val="center"/>
            </w:pPr>
            <w:r>
              <w:rPr>
                <w:color w:val="000000"/>
                <w:sz w:val="19"/>
                <w:szCs w:val="19"/>
              </w:rPr>
              <w:t>33.70%</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1DD3242" w14:textId="77777777" w:rsidR="00CD5869" w:rsidRDefault="00CD5869" w:rsidP="00D669DA">
            <w:pPr>
              <w:jc w:val="center"/>
            </w:pPr>
            <w:r>
              <w:rPr>
                <w:color w:val="000000"/>
                <w:sz w:val="19"/>
                <w:szCs w:val="19"/>
              </w:rPr>
              <w:t>0.04</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DDDE185" w14:textId="77777777" w:rsidR="00CD5869" w:rsidRDefault="00CD5869" w:rsidP="00D669DA">
            <w:pPr>
              <w:jc w:val="center"/>
            </w:pPr>
            <w:r>
              <w:rPr>
                <w:color w:val="000000"/>
                <w:sz w:val="19"/>
                <w:szCs w:val="19"/>
              </w:rPr>
              <w:t>-67.95%</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4219977" w14:textId="77777777" w:rsidR="00CD5869" w:rsidRDefault="00CD5869" w:rsidP="00D669DA">
            <w:pPr>
              <w:jc w:val="center"/>
            </w:pPr>
            <w:r>
              <w:rPr>
                <w:color w:val="000000"/>
                <w:sz w:val="19"/>
                <w:szCs w:val="19"/>
              </w:rPr>
              <w:t>1.09</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8091E28" w14:textId="77777777" w:rsidR="00CD5869" w:rsidRDefault="00CD5869" w:rsidP="00D669DA">
            <w:pPr>
              <w:jc w:val="center"/>
            </w:pPr>
            <w:r>
              <w:rPr>
                <w:color w:val="000000"/>
                <w:sz w:val="19"/>
                <w:szCs w:val="19"/>
              </w:rPr>
              <w:t>-6.85%</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0D6B9A6" w14:textId="77777777" w:rsidR="00CD5869" w:rsidRDefault="00CD5869" w:rsidP="00D669DA">
            <w:pPr>
              <w:jc w:val="center"/>
            </w:pPr>
            <w:r>
              <w:rPr>
                <w:color w:val="000000"/>
                <w:sz w:val="19"/>
                <w:szCs w:val="19"/>
              </w:rPr>
              <w:t>-6.85%</w:t>
            </w:r>
          </w:p>
        </w:tc>
      </w:tr>
      <w:tr w:rsidR="00CD5869" w14:paraId="030A7A48" w14:textId="77777777" w:rsidTr="00D669DA">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989195B" w14:textId="77777777" w:rsidR="00CD5869" w:rsidRDefault="00CD5869" w:rsidP="00D669DA">
            <w:r>
              <w:rPr>
                <w:color w:val="000000"/>
                <w:sz w:val="19"/>
                <w:szCs w:val="19"/>
              </w:rPr>
              <w:t>Top 3</w:t>
            </w:r>
          </w:p>
        </w:tc>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B9E6EAF" w14:textId="77777777" w:rsidR="00CD5869" w:rsidRDefault="00CD5869" w:rsidP="00D669DA">
            <w:r>
              <w:rPr>
                <w:color w:val="000000"/>
                <w:sz w:val="19"/>
                <w:szCs w:val="19"/>
              </w:rPr>
              <w:t>Annual</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808F302" w14:textId="77777777" w:rsidR="00CD5869" w:rsidRDefault="00CD5869" w:rsidP="00D669DA">
            <w:pPr>
              <w:jc w:val="center"/>
            </w:pPr>
            <w:r>
              <w:rPr>
                <w:color w:val="000000"/>
                <w:sz w:val="19"/>
                <w:szCs w:val="19"/>
              </w:rPr>
              <w:t>8.66</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A5F7FDA" w14:textId="77777777" w:rsidR="00CD5869" w:rsidRDefault="00CD5869" w:rsidP="00D669DA">
            <w:pPr>
              <w:jc w:val="center"/>
            </w:pPr>
            <w:r>
              <w:rPr>
                <w:color w:val="000000"/>
                <w:sz w:val="19"/>
                <w:szCs w:val="19"/>
              </w:rPr>
              <w:t>25.77%</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CB885CA" w14:textId="77777777" w:rsidR="00CD5869" w:rsidRDefault="00CD5869" w:rsidP="00D669DA">
            <w:pPr>
              <w:jc w:val="center"/>
            </w:pPr>
            <w:r>
              <w:rPr>
                <w:color w:val="000000"/>
                <w:sz w:val="19"/>
                <w:szCs w:val="19"/>
              </w:rPr>
              <w:t>32.79%</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tcPr>
          <w:p w14:paraId="2DF18E0B" w14:textId="77777777" w:rsidR="00CD5869" w:rsidRDefault="00CD5869" w:rsidP="00D669DA">
            <w:pPr>
              <w:jc w:val="center"/>
            </w:pPr>
            <w:r>
              <w:rPr>
                <w:color w:val="000000"/>
                <w:sz w:val="19"/>
                <w:szCs w:val="19"/>
              </w:rPr>
              <w:t>0.56</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6E318E9" w14:textId="77777777" w:rsidR="00CD5869" w:rsidRDefault="00CD5869" w:rsidP="00D669DA">
            <w:pPr>
              <w:jc w:val="center"/>
            </w:pPr>
            <w:r>
              <w:rPr>
                <w:color w:val="000000"/>
                <w:sz w:val="19"/>
                <w:szCs w:val="19"/>
              </w:rPr>
              <w:t>-42.35%</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13F5F1C" w14:textId="77777777" w:rsidR="00CD5869" w:rsidRDefault="00CD5869" w:rsidP="00D669DA">
            <w:pPr>
              <w:jc w:val="center"/>
            </w:pPr>
            <w:r>
              <w:rPr>
                <w:color w:val="000000"/>
                <w:sz w:val="19"/>
                <w:szCs w:val="19"/>
              </w:rPr>
              <w:t>1.14</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30A56B" w14:textId="77777777" w:rsidR="00CD5869" w:rsidRDefault="00CD5869" w:rsidP="00D669DA">
            <w:pPr>
              <w:jc w:val="center"/>
            </w:pPr>
            <w:r>
              <w:rPr>
                <w:color w:val="000000"/>
                <w:sz w:val="19"/>
                <w:szCs w:val="19"/>
              </w:rPr>
              <w:t>13.44%</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046B13F" w14:textId="77777777" w:rsidR="00CD5869" w:rsidRDefault="00CD5869" w:rsidP="00D669DA">
            <w:pPr>
              <w:jc w:val="center"/>
            </w:pPr>
            <w:r>
              <w:rPr>
                <w:color w:val="000000"/>
                <w:sz w:val="19"/>
                <w:szCs w:val="19"/>
              </w:rPr>
              <w:t>12.55%</w:t>
            </w:r>
          </w:p>
        </w:tc>
      </w:tr>
      <w:tr w:rsidR="00CD5869" w14:paraId="52616D7B" w14:textId="77777777" w:rsidTr="00D669DA">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401DF11" w14:textId="77777777" w:rsidR="00CD5869" w:rsidRDefault="00CD5869" w:rsidP="00D669DA">
            <w:r>
              <w:rPr>
                <w:color w:val="000000"/>
                <w:sz w:val="19"/>
                <w:szCs w:val="19"/>
              </w:rPr>
              <w:t>Top 3</w:t>
            </w:r>
          </w:p>
        </w:tc>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6D770E3" w14:textId="77777777" w:rsidR="00CD5869" w:rsidRDefault="00CD5869" w:rsidP="00D669DA">
            <w:r>
              <w:rPr>
                <w:color w:val="000000"/>
                <w:sz w:val="19"/>
                <w:szCs w:val="19"/>
              </w:rPr>
              <w:t>Semi-Annual</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212798C" w14:textId="77777777" w:rsidR="00CD5869" w:rsidRDefault="00CD5869" w:rsidP="00D669DA">
            <w:pPr>
              <w:jc w:val="center"/>
            </w:pPr>
            <w:r>
              <w:rPr>
                <w:color w:val="000000"/>
                <w:sz w:val="19"/>
                <w:szCs w:val="19"/>
              </w:rPr>
              <w:t>8.38</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9CDDBD4" w14:textId="77777777" w:rsidR="00CD5869" w:rsidRDefault="00CD5869" w:rsidP="00D669DA">
            <w:pPr>
              <w:jc w:val="center"/>
            </w:pPr>
            <w:r>
              <w:rPr>
                <w:color w:val="000000"/>
                <w:sz w:val="19"/>
                <w:szCs w:val="19"/>
              </w:rPr>
              <w:t>25.33%</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9774A66" w14:textId="77777777" w:rsidR="00CD5869" w:rsidRDefault="00CD5869" w:rsidP="00D669DA">
            <w:pPr>
              <w:jc w:val="center"/>
            </w:pPr>
            <w:r>
              <w:rPr>
                <w:color w:val="000000"/>
                <w:sz w:val="19"/>
                <w:szCs w:val="19"/>
              </w:rPr>
              <w:t>34.40%</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00" w:type="dxa"/>
              <w:bottom w:w="60" w:type="dxa"/>
              <w:right w:w="100" w:type="dxa"/>
            </w:tcMar>
          </w:tcPr>
          <w:p w14:paraId="206E2AF6" w14:textId="77777777" w:rsidR="00CD5869" w:rsidRDefault="00CD5869" w:rsidP="00D669DA">
            <w:pPr>
              <w:jc w:val="center"/>
            </w:pPr>
            <w:r>
              <w:rPr>
                <w:color w:val="000000"/>
                <w:sz w:val="19"/>
                <w:szCs w:val="19"/>
              </w:rPr>
              <w:t>0.53</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D72D52B" w14:textId="77777777" w:rsidR="00CD5869" w:rsidRDefault="00CD5869" w:rsidP="00D669DA">
            <w:pPr>
              <w:jc w:val="center"/>
            </w:pPr>
            <w:r>
              <w:rPr>
                <w:color w:val="000000"/>
                <w:sz w:val="19"/>
                <w:szCs w:val="19"/>
              </w:rPr>
              <w:t>-42.64%</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9689621" w14:textId="77777777" w:rsidR="00CD5869" w:rsidRDefault="00CD5869" w:rsidP="00D669DA">
            <w:pPr>
              <w:jc w:val="center"/>
            </w:pPr>
            <w:r>
              <w:rPr>
                <w:color w:val="000000"/>
                <w:sz w:val="19"/>
                <w:szCs w:val="19"/>
              </w:rPr>
              <w:t>1.14</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C546314" w14:textId="77777777" w:rsidR="00CD5869" w:rsidRDefault="00CD5869" w:rsidP="00D669DA">
            <w:pPr>
              <w:jc w:val="center"/>
            </w:pPr>
            <w:r>
              <w:rPr>
                <w:color w:val="000000"/>
                <w:sz w:val="19"/>
                <w:szCs w:val="19"/>
              </w:rPr>
              <w:t>13.37%</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C69D01C" w14:textId="77777777" w:rsidR="00CD5869" w:rsidRDefault="00CD5869" w:rsidP="00D669DA">
            <w:pPr>
              <w:jc w:val="center"/>
            </w:pPr>
            <w:r>
              <w:rPr>
                <w:color w:val="000000"/>
                <w:sz w:val="19"/>
                <w:szCs w:val="19"/>
              </w:rPr>
              <w:t>12.10%</w:t>
            </w:r>
          </w:p>
        </w:tc>
      </w:tr>
      <w:tr w:rsidR="00CD5869" w14:paraId="52FEE997" w14:textId="77777777" w:rsidTr="00D669DA">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EB1E112" w14:textId="77777777" w:rsidR="00CD5869" w:rsidRDefault="00CD5869" w:rsidP="00D669DA">
            <w:r>
              <w:rPr>
                <w:color w:val="000000"/>
                <w:sz w:val="19"/>
                <w:szCs w:val="19"/>
              </w:rPr>
              <w:t>Top 3</w:t>
            </w:r>
          </w:p>
        </w:tc>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9146422" w14:textId="77777777" w:rsidR="00CD5869" w:rsidRDefault="00CD5869" w:rsidP="00D669DA">
            <w:r>
              <w:rPr>
                <w:color w:val="000000"/>
                <w:sz w:val="19"/>
                <w:szCs w:val="19"/>
              </w:rPr>
              <w:t>Quarterly</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E5211BD" w14:textId="77777777" w:rsidR="00CD5869" w:rsidRDefault="00CD5869" w:rsidP="00D669DA">
            <w:pPr>
              <w:jc w:val="center"/>
            </w:pPr>
            <w:r>
              <w:rPr>
                <w:color w:val="000000"/>
                <w:sz w:val="19"/>
                <w:szCs w:val="19"/>
              </w:rPr>
              <w:t>4.14</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D7F7200" w14:textId="77777777" w:rsidR="00CD5869" w:rsidRDefault="00CD5869" w:rsidP="00D669DA">
            <w:pPr>
              <w:jc w:val="center"/>
            </w:pPr>
            <w:r>
              <w:rPr>
                <w:color w:val="000000"/>
                <w:sz w:val="19"/>
                <w:szCs w:val="19"/>
              </w:rPr>
              <w:t>16.29%</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D454B07" w14:textId="77777777" w:rsidR="00CD5869" w:rsidRDefault="00CD5869" w:rsidP="00D669DA">
            <w:pPr>
              <w:jc w:val="center"/>
            </w:pPr>
            <w:r>
              <w:rPr>
                <w:color w:val="000000"/>
                <w:sz w:val="19"/>
                <w:szCs w:val="19"/>
              </w:rPr>
              <w:t>32.03%</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65C545C" w14:textId="77777777" w:rsidR="00CD5869" w:rsidRDefault="00CD5869" w:rsidP="00D669DA">
            <w:pPr>
              <w:jc w:val="center"/>
            </w:pPr>
            <w:r>
              <w:rPr>
                <w:color w:val="000000"/>
                <w:sz w:val="19"/>
                <w:szCs w:val="19"/>
              </w:rPr>
              <w:t>0.30</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F1D4155" w14:textId="77777777" w:rsidR="00CD5869" w:rsidRDefault="00CD5869" w:rsidP="00D669DA">
            <w:pPr>
              <w:jc w:val="center"/>
            </w:pPr>
            <w:r>
              <w:rPr>
                <w:color w:val="000000"/>
                <w:sz w:val="19"/>
                <w:szCs w:val="19"/>
              </w:rPr>
              <w:t>-49.87%</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605A02" w14:textId="77777777" w:rsidR="00CD5869" w:rsidRDefault="00CD5869" w:rsidP="00D669DA">
            <w:pPr>
              <w:jc w:val="center"/>
            </w:pPr>
            <w:r>
              <w:rPr>
                <w:color w:val="000000"/>
                <w:sz w:val="19"/>
                <w:szCs w:val="19"/>
              </w:rPr>
              <w:t>1.07</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B69C995" w14:textId="77777777" w:rsidR="00CD5869" w:rsidRDefault="00CD5869" w:rsidP="00D669DA">
            <w:pPr>
              <w:jc w:val="center"/>
            </w:pPr>
            <w:r>
              <w:rPr>
                <w:color w:val="000000"/>
                <w:sz w:val="19"/>
                <w:szCs w:val="19"/>
              </w:rPr>
              <w:t>5.25%</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4671E37" w14:textId="77777777" w:rsidR="00CD5869" w:rsidRDefault="00CD5869" w:rsidP="00D669DA">
            <w:pPr>
              <w:jc w:val="center"/>
            </w:pPr>
            <w:r>
              <w:rPr>
                <w:color w:val="000000"/>
                <w:sz w:val="19"/>
                <w:szCs w:val="19"/>
              </w:rPr>
              <w:t>3.07%</w:t>
            </w:r>
          </w:p>
        </w:tc>
      </w:tr>
      <w:tr w:rsidR="00CD5869" w14:paraId="4E63E641" w14:textId="77777777" w:rsidTr="00D669DA">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85415E2" w14:textId="77777777" w:rsidR="00CD5869" w:rsidRDefault="00CD5869" w:rsidP="00D669DA">
            <w:r>
              <w:rPr>
                <w:color w:val="000000"/>
                <w:sz w:val="19"/>
                <w:szCs w:val="19"/>
              </w:rPr>
              <w:t>Top 5</w:t>
            </w:r>
          </w:p>
        </w:tc>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CD83246" w14:textId="77777777" w:rsidR="00CD5869" w:rsidRDefault="00CD5869" w:rsidP="00D669DA">
            <w:r>
              <w:rPr>
                <w:color w:val="000000"/>
                <w:sz w:val="19"/>
                <w:szCs w:val="19"/>
              </w:rPr>
              <w:t>Annual</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D0DA9F5" w14:textId="77777777" w:rsidR="00CD5869" w:rsidRDefault="00CD5869" w:rsidP="00D669DA">
            <w:pPr>
              <w:jc w:val="center"/>
            </w:pPr>
            <w:r>
              <w:rPr>
                <w:color w:val="000000"/>
                <w:sz w:val="19"/>
                <w:szCs w:val="19"/>
              </w:rPr>
              <w:t>4.96</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03DDFAA" w14:textId="77777777" w:rsidR="00CD5869" w:rsidRDefault="00CD5869" w:rsidP="00D669DA">
            <w:pPr>
              <w:jc w:val="center"/>
            </w:pPr>
            <w:r>
              <w:rPr>
                <w:color w:val="000000"/>
                <w:sz w:val="19"/>
                <w:szCs w:val="19"/>
              </w:rPr>
              <w:t>18.54%</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BA576B" w14:textId="77777777" w:rsidR="00CD5869" w:rsidRDefault="00CD5869" w:rsidP="00D669DA">
            <w:pPr>
              <w:jc w:val="center"/>
            </w:pPr>
            <w:r>
              <w:rPr>
                <w:color w:val="000000"/>
                <w:sz w:val="19"/>
                <w:szCs w:val="19"/>
              </w:rPr>
              <w:t>24.38%</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7B89BD5" w14:textId="77777777" w:rsidR="00CD5869" w:rsidRDefault="00CD5869" w:rsidP="00D669DA">
            <w:pPr>
              <w:jc w:val="center"/>
            </w:pPr>
            <w:r>
              <w:rPr>
                <w:color w:val="000000"/>
                <w:sz w:val="19"/>
                <w:szCs w:val="19"/>
              </w:rPr>
              <w:t>0.39</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03F0CE0" w14:textId="77777777" w:rsidR="00CD5869" w:rsidRDefault="00CD5869" w:rsidP="00D669DA">
            <w:pPr>
              <w:jc w:val="center"/>
            </w:pPr>
            <w:r>
              <w:rPr>
                <w:color w:val="000000"/>
                <w:sz w:val="19"/>
                <w:szCs w:val="19"/>
              </w:rPr>
              <w:t>-30.64%</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DDDC6B0" w14:textId="77777777" w:rsidR="00CD5869" w:rsidRDefault="00CD5869" w:rsidP="00D669DA">
            <w:pPr>
              <w:jc w:val="center"/>
            </w:pPr>
            <w:r>
              <w:rPr>
                <w:color w:val="000000"/>
                <w:sz w:val="19"/>
                <w:szCs w:val="19"/>
              </w:rPr>
              <w:t>0.93</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01C3B8F" w14:textId="77777777" w:rsidR="00CD5869" w:rsidRDefault="00CD5869" w:rsidP="00D669DA">
            <w:pPr>
              <w:jc w:val="center"/>
            </w:pPr>
            <w:r>
              <w:rPr>
                <w:color w:val="000000"/>
                <w:sz w:val="19"/>
                <w:szCs w:val="19"/>
              </w:rPr>
              <w:t>5.66%</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625ACD2" w14:textId="77777777" w:rsidR="00CD5869" w:rsidRDefault="00CD5869" w:rsidP="00D669DA">
            <w:pPr>
              <w:jc w:val="center"/>
            </w:pPr>
            <w:r>
              <w:rPr>
                <w:color w:val="000000"/>
                <w:sz w:val="19"/>
                <w:szCs w:val="19"/>
              </w:rPr>
              <w:t>5.31%</w:t>
            </w:r>
          </w:p>
        </w:tc>
      </w:tr>
      <w:tr w:rsidR="00CD5869" w14:paraId="4209896F" w14:textId="77777777" w:rsidTr="00D669DA">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9853004" w14:textId="77777777" w:rsidR="00CD5869" w:rsidRDefault="00CD5869" w:rsidP="00D669DA">
            <w:r>
              <w:rPr>
                <w:color w:val="000000"/>
                <w:sz w:val="19"/>
                <w:szCs w:val="19"/>
              </w:rPr>
              <w:t>Top 5</w:t>
            </w:r>
          </w:p>
        </w:tc>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58FF294" w14:textId="77777777" w:rsidR="00CD5869" w:rsidRDefault="00CD5869" w:rsidP="00D669DA">
            <w:r>
              <w:rPr>
                <w:color w:val="000000"/>
                <w:sz w:val="19"/>
                <w:szCs w:val="19"/>
              </w:rPr>
              <w:t>Semi-Annual</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E59EB88" w14:textId="77777777" w:rsidR="00CD5869" w:rsidRDefault="00CD5869" w:rsidP="00D669DA">
            <w:pPr>
              <w:jc w:val="center"/>
            </w:pPr>
            <w:r>
              <w:rPr>
                <w:color w:val="000000"/>
                <w:sz w:val="19"/>
                <w:szCs w:val="19"/>
              </w:rPr>
              <w:t>5.05</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AADC376" w14:textId="77777777" w:rsidR="00CD5869" w:rsidRDefault="00CD5869" w:rsidP="00D669DA">
            <w:pPr>
              <w:jc w:val="center"/>
            </w:pPr>
            <w:r>
              <w:rPr>
                <w:color w:val="000000"/>
                <w:sz w:val="19"/>
                <w:szCs w:val="19"/>
              </w:rPr>
              <w:t>18.77%</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7302D81" w14:textId="77777777" w:rsidR="00CD5869" w:rsidRDefault="00CD5869" w:rsidP="00D669DA">
            <w:pPr>
              <w:jc w:val="center"/>
            </w:pPr>
            <w:r>
              <w:rPr>
                <w:color w:val="000000"/>
                <w:sz w:val="19"/>
                <w:szCs w:val="19"/>
              </w:rPr>
              <w:t>25.66%</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E4E8B14" w14:textId="77777777" w:rsidR="00CD5869" w:rsidRDefault="00CD5869" w:rsidP="00D669DA">
            <w:pPr>
              <w:jc w:val="center"/>
            </w:pPr>
            <w:r>
              <w:rPr>
                <w:color w:val="000000"/>
                <w:sz w:val="19"/>
                <w:szCs w:val="19"/>
              </w:rPr>
              <w:t>0.39</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63A303E" w14:textId="77777777" w:rsidR="00CD5869" w:rsidRDefault="00CD5869" w:rsidP="00D669DA">
            <w:pPr>
              <w:jc w:val="center"/>
            </w:pPr>
            <w:r>
              <w:rPr>
                <w:color w:val="000000"/>
                <w:sz w:val="19"/>
                <w:szCs w:val="19"/>
              </w:rPr>
              <w:t>-36.94%</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1599A48" w14:textId="77777777" w:rsidR="00CD5869" w:rsidRDefault="00CD5869" w:rsidP="00D669DA">
            <w:pPr>
              <w:jc w:val="center"/>
            </w:pPr>
            <w:r>
              <w:rPr>
                <w:color w:val="000000"/>
                <w:sz w:val="19"/>
                <w:szCs w:val="19"/>
              </w:rPr>
              <w:t>0.95</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5809B3E" w14:textId="77777777" w:rsidR="00CD5869" w:rsidRDefault="00CD5869" w:rsidP="00D669DA">
            <w:pPr>
              <w:jc w:val="center"/>
            </w:pPr>
            <w:r>
              <w:rPr>
                <w:color w:val="000000"/>
                <w:sz w:val="19"/>
                <w:szCs w:val="19"/>
              </w:rPr>
              <w:t>6.12%</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1D06041" w14:textId="77777777" w:rsidR="00CD5869" w:rsidRDefault="00CD5869" w:rsidP="00D669DA">
            <w:pPr>
              <w:jc w:val="center"/>
            </w:pPr>
            <w:r>
              <w:rPr>
                <w:color w:val="000000"/>
                <w:sz w:val="19"/>
                <w:szCs w:val="19"/>
              </w:rPr>
              <w:t>5.54%</w:t>
            </w:r>
          </w:p>
        </w:tc>
      </w:tr>
      <w:tr w:rsidR="00CD5869" w14:paraId="1F1DF7DB" w14:textId="77777777" w:rsidTr="00D669DA">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2EA4FC7" w14:textId="77777777" w:rsidR="00CD5869" w:rsidRDefault="00CD5869" w:rsidP="00D669DA">
            <w:r>
              <w:rPr>
                <w:color w:val="000000"/>
                <w:sz w:val="19"/>
                <w:szCs w:val="19"/>
              </w:rPr>
              <w:t>Top 5</w:t>
            </w:r>
          </w:p>
        </w:tc>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20340B5" w14:textId="77777777" w:rsidR="00CD5869" w:rsidRDefault="00CD5869" w:rsidP="00D669DA">
            <w:r>
              <w:rPr>
                <w:color w:val="000000"/>
                <w:sz w:val="19"/>
                <w:szCs w:val="19"/>
              </w:rPr>
              <w:t>Quarterly</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1D66189" w14:textId="77777777" w:rsidR="00CD5869" w:rsidRDefault="00CD5869" w:rsidP="00D669DA">
            <w:pPr>
              <w:jc w:val="center"/>
            </w:pPr>
            <w:r>
              <w:rPr>
                <w:color w:val="000000"/>
                <w:sz w:val="19"/>
                <w:szCs w:val="19"/>
              </w:rPr>
              <w:t>4.22</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868800A" w14:textId="77777777" w:rsidR="00CD5869" w:rsidRDefault="00CD5869" w:rsidP="00D669DA">
            <w:pPr>
              <w:jc w:val="center"/>
            </w:pPr>
            <w:r>
              <w:rPr>
                <w:color w:val="000000"/>
                <w:sz w:val="19"/>
                <w:szCs w:val="19"/>
              </w:rPr>
              <w:t>16.51%</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C04CD1C" w14:textId="77777777" w:rsidR="00CD5869" w:rsidRDefault="00CD5869" w:rsidP="00D669DA">
            <w:pPr>
              <w:jc w:val="center"/>
            </w:pPr>
            <w:r>
              <w:rPr>
                <w:color w:val="000000"/>
                <w:sz w:val="19"/>
                <w:szCs w:val="19"/>
              </w:rPr>
              <w:t>25.26%</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F3D94F8" w14:textId="77777777" w:rsidR="00CD5869" w:rsidRDefault="00CD5869" w:rsidP="00D669DA">
            <w:pPr>
              <w:jc w:val="center"/>
            </w:pPr>
            <w:r>
              <w:rPr>
                <w:color w:val="000000"/>
                <w:sz w:val="19"/>
                <w:szCs w:val="19"/>
              </w:rPr>
              <w:t>0.32</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888DA37" w14:textId="77777777" w:rsidR="00CD5869" w:rsidRDefault="00CD5869" w:rsidP="00D669DA">
            <w:pPr>
              <w:jc w:val="center"/>
            </w:pPr>
            <w:r>
              <w:rPr>
                <w:color w:val="000000"/>
                <w:sz w:val="19"/>
                <w:szCs w:val="19"/>
              </w:rPr>
              <w:t>-41.07%</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5284DF2" w14:textId="77777777" w:rsidR="00CD5869" w:rsidRDefault="00CD5869" w:rsidP="00D669DA">
            <w:pPr>
              <w:jc w:val="center"/>
            </w:pPr>
            <w:r>
              <w:rPr>
                <w:color w:val="000000"/>
                <w:sz w:val="19"/>
                <w:szCs w:val="19"/>
              </w:rPr>
              <w:t>0.95</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642E7D9" w14:textId="77777777" w:rsidR="00CD5869" w:rsidRDefault="00CD5869" w:rsidP="00D669DA">
            <w:pPr>
              <w:jc w:val="center"/>
            </w:pPr>
            <w:r>
              <w:rPr>
                <w:color w:val="000000"/>
                <w:sz w:val="19"/>
                <w:szCs w:val="19"/>
              </w:rPr>
              <w:t>4.06%</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FC54CBF" w14:textId="77777777" w:rsidR="00CD5869" w:rsidRDefault="00CD5869" w:rsidP="00D669DA">
            <w:pPr>
              <w:jc w:val="center"/>
            </w:pPr>
            <w:r>
              <w:rPr>
                <w:color w:val="000000"/>
                <w:sz w:val="19"/>
                <w:szCs w:val="19"/>
              </w:rPr>
              <w:t>3.28%</w:t>
            </w:r>
          </w:p>
        </w:tc>
      </w:tr>
      <w:tr w:rsidR="00CD5869" w14:paraId="0426CE1C" w14:textId="77777777" w:rsidTr="00D669DA">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BBA5670" w14:textId="77777777" w:rsidR="00CD5869" w:rsidRDefault="00CD5869" w:rsidP="00D669DA">
            <w:r>
              <w:rPr>
                <w:color w:val="000000"/>
                <w:sz w:val="19"/>
                <w:szCs w:val="19"/>
              </w:rPr>
              <w:t>KSE-100</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692E447" w14:textId="77777777" w:rsidR="00CD5869" w:rsidRDefault="00CD5869" w:rsidP="00D669DA">
            <w:r>
              <w:rPr>
                <w:color w:val="000000"/>
                <w:sz w:val="19"/>
                <w:szCs w:val="19"/>
              </w:rPr>
              <w:t>Benchmark</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C4C2640" w14:textId="77777777" w:rsidR="00CD5869" w:rsidRDefault="00CD5869" w:rsidP="00D669DA">
            <w:pPr>
              <w:jc w:val="center"/>
            </w:pPr>
            <w:r>
              <w:rPr>
                <w:color w:val="000000"/>
                <w:sz w:val="19"/>
                <w:szCs w:val="19"/>
              </w:rPr>
              <w:t>3.22</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0643068" w14:textId="77777777" w:rsidR="00CD5869" w:rsidRDefault="00CD5869" w:rsidP="00D669DA">
            <w:pPr>
              <w:jc w:val="center"/>
            </w:pPr>
            <w:r>
              <w:rPr>
                <w:color w:val="000000"/>
                <w:sz w:val="19"/>
                <w:szCs w:val="19"/>
              </w:rPr>
              <w:t>13.23%</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EA1C061" w14:textId="77777777" w:rsidR="00CD5869" w:rsidRDefault="00CD5869" w:rsidP="00D669DA">
            <w:pPr>
              <w:jc w:val="center"/>
            </w:pPr>
            <w:r>
              <w:rPr>
                <w:color w:val="000000"/>
                <w:sz w:val="19"/>
                <w:szCs w:val="19"/>
              </w:rPr>
              <w:t>21.24%</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6E5DFE5C" w14:textId="77777777" w:rsidR="00CD5869" w:rsidRDefault="00CD5869" w:rsidP="00D669DA">
            <w:pPr>
              <w:jc w:val="center"/>
            </w:pPr>
            <w:r>
              <w:rPr>
                <w:color w:val="000000"/>
                <w:sz w:val="19"/>
                <w:szCs w:val="19"/>
              </w:rPr>
              <w:t>0.20</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6F4074F" w14:textId="77777777" w:rsidR="00CD5869" w:rsidRDefault="00CD5869" w:rsidP="00D669DA">
            <w:pPr>
              <w:jc w:val="center"/>
            </w:pPr>
            <w:r>
              <w:rPr>
                <w:color w:val="000000"/>
                <w:sz w:val="19"/>
                <w:szCs w:val="19"/>
              </w:rPr>
              <w:t>—</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AC92D26" w14:textId="77777777" w:rsidR="00CD5869" w:rsidRDefault="00CD5869" w:rsidP="00D669DA">
            <w:pPr>
              <w:jc w:val="center"/>
            </w:pPr>
            <w:r>
              <w:rPr>
                <w:color w:val="000000"/>
                <w:sz w:val="19"/>
                <w:szCs w:val="19"/>
              </w:rPr>
              <w:t>—</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2D607A3" w14:textId="77777777" w:rsidR="00CD5869" w:rsidRDefault="00CD5869" w:rsidP="00D669DA">
            <w:pPr>
              <w:jc w:val="center"/>
            </w:pPr>
            <w:r>
              <w:rPr>
                <w:color w:val="000000"/>
                <w:sz w:val="19"/>
                <w:szCs w:val="19"/>
              </w:rPr>
              <w:t>—</w:t>
            </w:r>
          </w:p>
        </w:tc>
        <w:tc>
          <w:tcPr>
            <w:tcW w:w="1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7EFC35E" w14:textId="77777777" w:rsidR="00CD5869" w:rsidRDefault="00CD5869" w:rsidP="00D669DA">
            <w:pPr>
              <w:jc w:val="center"/>
            </w:pPr>
            <w:r>
              <w:rPr>
                <w:color w:val="000000"/>
                <w:sz w:val="19"/>
                <w:szCs w:val="19"/>
              </w:rPr>
              <w:t>—</w:t>
            </w:r>
          </w:p>
        </w:tc>
      </w:tr>
    </w:tbl>
    <w:p w14:paraId="5FBDBD4B" w14:textId="77777777" w:rsidR="00CD5869" w:rsidRDefault="00CD5869" w:rsidP="00CD5869">
      <w:pPr>
        <w:spacing w:after="200"/>
      </w:pPr>
    </w:p>
    <w:p w14:paraId="0D13DE23" w14:textId="77777777" w:rsidR="00CD5869" w:rsidRDefault="00CD5869" w:rsidP="00CD5869">
      <w:pPr>
        <w:spacing w:line="276" w:lineRule="auto"/>
      </w:pPr>
      <w:r>
        <w:rPr>
          <w:i/>
          <w:iCs/>
          <w:sz w:val="18"/>
          <w:szCs w:val="18"/>
        </w:rPr>
        <w:t xml:space="preserve">Table 1: Risk-adjusted performance by portfolio size and rebalancing frequency. All figures net of transaction costs and CGT. Source: </w:t>
      </w:r>
      <w:proofErr w:type="spellStart"/>
      <w:r>
        <w:rPr>
          <w:i/>
          <w:iCs/>
          <w:sz w:val="18"/>
          <w:szCs w:val="18"/>
        </w:rPr>
        <w:t>Scenario_Summary</w:t>
      </w:r>
      <w:proofErr w:type="spellEnd"/>
      <w:r>
        <w:rPr>
          <w:i/>
          <w:iCs/>
          <w:sz w:val="18"/>
          <w:szCs w:val="18"/>
        </w:rPr>
        <w:t xml:space="preserve"> sheet, FYP workbook.</w:t>
      </w:r>
    </w:p>
    <w:p w14:paraId="2FE0DA0B" w14:textId="77777777" w:rsidR="00CD5869" w:rsidRPr="008A1066" w:rsidRDefault="00CD5869" w:rsidP="00CD5869">
      <w:pPr>
        <w:rPr>
          <w:b/>
          <w:bCs/>
          <w:sz w:val="28"/>
          <w:szCs w:val="28"/>
        </w:rPr>
      </w:pPr>
      <w:r w:rsidRPr="008A1066">
        <w:rPr>
          <w:b/>
          <w:bCs/>
          <w:sz w:val="28"/>
          <w:szCs w:val="28"/>
        </w:rPr>
        <w:t>4.1 Rebalancing Frequency</w:t>
      </w:r>
    </w:p>
    <w:p w14:paraId="6019A2B3" w14:textId="77777777" w:rsidR="00CD5869" w:rsidRDefault="00CD5869" w:rsidP="00CD5869">
      <w:r>
        <w:t xml:space="preserve">That is the trend in all three portfolio sizes: annual rebalancing gave the best Sharpe ratio, semi-annual rebalancing very comparable to annual rebalancing (and the Top 3 and Top 5), and quarterly was always the worst. A quarterly rebalancing allowance is more of an injury to the policy with Top 2, as under this option, the Sharpe ratio drops from 0.56 in the case of annual rebalancing to 0.04 and the raw annualised return basis (ARB) (6.38% vs 13.23%) is worse than the KSE-100. This is the strongest evidence for the proposal from </w:t>
      </w:r>
      <w:proofErr w:type="spellStart"/>
      <w:r>
        <w:t>Foltice</w:t>
      </w:r>
      <w:proofErr w:type="spellEnd"/>
      <w:r>
        <w:t xml:space="preserve"> and Langer (2015) that increased persistence would diminish the advantage of the strategy, and that once realistic costs and tax are reflected the advantage of the strategy for the Top 2 quarterly periods is eroded nearly completely away.</w:t>
      </w:r>
    </w:p>
    <w:p w14:paraId="42EF57AB" w14:textId="77777777" w:rsidR="008A1066" w:rsidRDefault="008A1066" w:rsidP="00CD5869"/>
    <w:p w14:paraId="5A8F78C9" w14:textId="77777777" w:rsidR="008A1066" w:rsidRDefault="008A1066" w:rsidP="00CD5869"/>
    <w:p w14:paraId="52838A89" w14:textId="77777777" w:rsidR="00CD5869" w:rsidRPr="008A1066" w:rsidRDefault="00CD5869" w:rsidP="00CD5869">
      <w:pPr>
        <w:rPr>
          <w:b/>
          <w:bCs/>
          <w:sz w:val="28"/>
          <w:szCs w:val="28"/>
        </w:rPr>
      </w:pPr>
      <w:r w:rsidRPr="008A1066">
        <w:rPr>
          <w:b/>
          <w:bCs/>
          <w:sz w:val="28"/>
          <w:szCs w:val="28"/>
        </w:rPr>
        <w:lastRenderedPageBreak/>
        <w:t>4.2 Portfolio Concentration</w:t>
      </w:r>
    </w:p>
    <w:p w14:paraId="1B669DFC" w14:textId="77777777" w:rsidR="00CD5869" w:rsidRDefault="00CD5869" w:rsidP="00CD5869">
      <w:r>
        <w:t xml:space="preserve">Top 2 Annual contains the maximum drawdown of any scenario (-53.9%), but has the highest Sharpe ratio (0.56), due to only being invested in two stocks so there is a concentration risk. Top 3 Annual is right there near the Top2 in terms of performance Sharpe (0.555, almost no different on that measure), but has a much nicer drawdown (-42.3%) and is a better way to stay invested in an </w:t>
      </w:r>
      <w:proofErr w:type="spellStart"/>
      <w:r>
        <w:t>unfavorable</w:t>
      </w:r>
      <w:proofErr w:type="spellEnd"/>
      <w:r>
        <w:t xml:space="preserve"> trend. It turns out that the top 5 portfolios are much the least extreme on each and every weave measure — they have much lower volatility and drawdown, but also much lower returns and Sharpe ratios than the more concentrated top 2 and top 3 portfolios, and also have much lower CAPM betas than 1 (around 0.93-0.95), making them somewhat defensive, compared to the index.</w:t>
      </w:r>
    </w:p>
    <w:p w14:paraId="4AC79BD2" w14:textId="77777777" w:rsidR="00CD5869" w:rsidRPr="008A1066" w:rsidRDefault="00CD5869" w:rsidP="00CD5869">
      <w:pPr>
        <w:rPr>
          <w:b/>
          <w:bCs/>
          <w:sz w:val="28"/>
          <w:szCs w:val="28"/>
        </w:rPr>
      </w:pPr>
      <w:r w:rsidRPr="008A1066">
        <w:rPr>
          <w:b/>
          <w:bCs/>
          <w:sz w:val="28"/>
          <w:szCs w:val="28"/>
        </w:rPr>
        <w:t>4.3 CAPM Alpha</w:t>
      </w:r>
    </w:p>
    <w:p w14:paraId="66B1A7DF" w14:textId="77777777" w:rsidR="00CD5869" w:rsidRDefault="00CD5869" w:rsidP="00CD5869">
      <w:r>
        <w:t>The annualised alphas (13.4%–13.8% for Top 2 and Top 3 Annual) in the annual rebalancing scenarios are clearly positive and have economic significance, allowing one to see that the portfolios' returns were far greater than what would be expected from service provider market beta alone. We see that, as rebalancing frequency rises, alpha very rapidly turns negative for the Top 2 Semi-Annual and the Top 2 Quarterly — in fact, for these two the negative alpha is -0.47% and -6.85% respectively — meaning that, if costs were to be taken out of the equation, rebalancing is not outperforming a passive beta-matched exposure to the KSE-100.</w:t>
      </w:r>
    </w:p>
    <w:p w14:paraId="4881F505" w14:textId="77777777" w:rsidR="00CD5869" w:rsidRPr="008A1066" w:rsidRDefault="00CD5869" w:rsidP="00CD5869">
      <w:pPr>
        <w:rPr>
          <w:b/>
          <w:bCs/>
          <w:sz w:val="28"/>
          <w:szCs w:val="28"/>
        </w:rPr>
      </w:pPr>
      <w:r w:rsidRPr="008A1066">
        <w:rPr>
          <w:b/>
          <w:bCs/>
          <w:sz w:val="28"/>
          <w:szCs w:val="28"/>
        </w:rPr>
        <w:t>4.4 Comparison with the KSE-100 Benchmark</w:t>
      </w:r>
    </w:p>
    <w:p w14:paraId="3CA1A6F2" w14:textId="77777777" w:rsidR="00CD5869" w:rsidRDefault="00CD5869" w:rsidP="00CD5869">
      <w:r>
        <w:t>All nine cases registered a better Sharpe ratio than the KSE-100 index during the applicable period (0.20 is already positive), with the performance of the weakest case being Top 2 Quarterly and a result of +0.04 (far from being good, but at least a little better than cash at the risk-free rate; and definitely the lowest of the nine). The weaker scenarios, on the other hand, doubled the benchmark's Sharpe ratio. This indicates that, as per the boundaries already mentioned in section 3.5, the momentum approach actually had significant merit on this stock universe — the actual difference-maker in the outcomes is not whether or not the “momentum” worked, but how much it lost through frequent rebalancing.</w:t>
      </w:r>
    </w:p>
    <w:p w14:paraId="208E5B7F" w14:textId="77777777" w:rsidR="00CD5869" w:rsidRPr="008A1066" w:rsidRDefault="00CD5869" w:rsidP="00CD5869">
      <w:pPr>
        <w:rPr>
          <w:b/>
          <w:bCs/>
          <w:sz w:val="32"/>
          <w:szCs w:val="32"/>
        </w:rPr>
      </w:pPr>
      <w:r w:rsidRPr="008A1066">
        <w:rPr>
          <w:b/>
          <w:bCs/>
          <w:sz w:val="32"/>
          <w:szCs w:val="32"/>
        </w:rPr>
        <w:t>5. Discussion</w:t>
      </w:r>
    </w:p>
    <w:p w14:paraId="1058D8DA" w14:textId="062ACA2F" w:rsidR="00CD5869" w:rsidRDefault="00CD5869" w:rsidP="00CD5869">
      <w:r>
        <w:t xml:space="preserve">The findings are in line with the main conclusion of </w:t>
      </w:r>
      <w:proofErr w:type="spellStart"/>
      <w:r>
        <w:t>Foltice</w:t>
      </w:r>
      <w:proofErr w:type="spellEnd"/>
      <w:r>
        <w:t xml:space="preserve"> and Langer (2015): An individual investor's momentum strategy is not only choosing the right </w:t>
      </w:r>
      <w:r w:rsidR="008A1066">
        <w:t>signal;</w:t>
      </w:r>
      <w:r>
        <w:t xml:space="preserve"> it is choosing not to sell it. The effect is even more severe in this PSX case study than outlined in the original paper (which was based in the USA) because realising a profit every three months under a 15% CGT rate presents a real, ongoing tax liability, that isn't the case in a buy and hold-longer set up.</w:t>
      </w:r>
    </w:p>
    <w:p w14:paraId="3B83E223" w14:textId="77777777" w:rsidR="00CD5869" w:rsidRDefault="00CD5869" w:rsidP="00CD5869">
      <w:r>
        <w:lastRenderedPageBreak/>
        <w:t>In nine out of eight scenarios, the recommendation that always springs to mind from this is not really 'buy as infrequently as possible', but rather, it was found that fresh momentum rankings broken down into quarterly windows had no real advantage for this universe of stocks and this signal. In this 10-year period, at least, an investor who firmly believes in the momentum effect might have been better off doing a quarterly check-in on his or her stock portfolio.</w:t>
      </w:r>
    </w:p>
    <w:p w14:paraId="4D87225E" w14:textId="77777777" w:rsidR="00CD5869" w:rsidRDefault="00CD5869" w:rsidP="00CD5869">
      <w:r>
        <w:t xml:space="preserve">The concentration question (Top 2 vs Top 3 vs Top 5) is an independent, slightly more personal choice. There is indeed a reasonable behavioural reason that an investor exiting a game with a 54% MDD is not capturing any of the long run Sharpe ratio of the strategy: Top 2 Annual being the highest Sharpe in absolute terms but the big down is a hard one to endure. A better guess on an actual retail investor as opposed to a </w:t>
      </w:r>
      <w:proofErr w:type="spellStart"/>
      <w:r>
        <w:t>backtest</w:t>
      </w:r>
      <w:proofErr w:type="spellEnd"/>
      <w:r>
        <w:t xml:space="preserve"> would be top 3 Annual, which has very little loss in the Sharpe ratio and a perceptible drop-down.</w:t>
      </w:r>
    </w:p>
    <w:p w14:paraId="543E5F31" w14:textId="77777777" w:rsidR="00CD5869" w:rsidRDefault="00CD5869" w:rsidP="00CD5869">
      <w:r>
        <w:t>She'll also have to face the truth about what this project is not. It is no way to make the sweeping generalisation ‘momentum is working on the PSX' on the basis of nine scenarios applied to a specific set of eight presently large and liquid stocks over one period of 10 years, or to rule out that might not have happened in a different 10-year time frame or a different universe of six stocks. The project can confidently state that rebalancing less frequently on average yielded better results when the signal, universe, and time frame are statistically identical; the frequency of rebalancing also did not have a noticeable effect on the outcome with either of the other two portfolio sizes used in the test, and that is a sizeable level of confidence based on the test's message.</w:t>
      </w:r>
    </w:p>
    <w:p w14:paraId="77D6BBFB" w14:textId="77777777" w:rsidR="00CD5869" w:rsidRPr="008A1066" w:rsidRDefault="00CD5869" w:rsidP="00CD5869">
      <w:pPr>
        <w:rPr>
          <w:b/>
          <w:bCs/>
          <w:sz w:val="32"/>
          <w:szCs w:val="32"/>
        </w:rPr>
      </w:pPr>
      <w:r w:rsidRPr="008A1066">
        <w:rPr>
          <w:b/>
          <w:bCs/>
          <w:sz w:val="32"/>
          <w:szCs w:val="32"/>
        </w:rPr>
        <w:t>6. Conclusion</w:t>
      </w:r>
    </w:p>
    <w:p w14:paraId="6ADC4DC5" w14:textId="05142933" w:rsidR="00CD5869" w:rsidRDefault="00CD5869" w:rsidP="00CD5869">
      <w:pPr>
        <w:spacing w:line="276" w:lineRule="auto"/>
        <w:jc w:val="both"/>
      </w:pPr>
      <w:r>
        <w:t xml:space="preserve">This project aimed to resolve a very basic question by a Pakistani retail investor who was running a PSX momentum trading strategy with a few stocks – how many times should the portfolio actually be balanced? Every combination of Portfolio Concentration and Rebalancing Frequency resulted in progressively superior, but only marginally better returns relative to the cyclical wins that occurred through the year, with annual rebalancing outperforming the others, and quarterly rebalancing almost wiping away the strategy's returns entirely for the most concentrated case (Top 2). The most balanced suggestion that was made is the top 3, which gets nearly all of the top Sharpe ratio of the study without being as devilish as the </w:t>
      </w:r>
      <w:r w:rsidR="008A1066">
        <w:t>2-stock</w:t>
      </w:r>
      <w:r>
        <w:t xml:space="preserve"> option, which had the highest risk to suffer drawdowns. The performance of all nine momentum scenarios has been better than the KSE-100 Index on a risk-adjusted basis, supporting the case that a disciplined, low-frequency momentum approach had real value on this stock universe over this period, even after accounting for the costs an actual retail investor would have faced.</w:t>
      </w:r>
    </w:p>
    <w:p w14:paraId="20A0752E" w14:textId="77777777" w:rsidR="00CD5869" w:rsidRDefault="00CD5869" w:rsidP="00CD5869">
      <w:pPr>
        <w:spacing w:line="276" w:lineRule="auto"/>
        <w:jc w:val="both"/>
      </w:pPr>
      <w:r>
        <w:t xml:space="preserve">Future work building on this case study — outside the scope of what was attempted here — could extend the stock universe beyond eight names, test alternative formation periods, or </w:t>
      </w:r>
      <w:r>
        <w:lastRenderedPageBreak/>
        <w:t>examine whether the rebalancing-frequency result holds up across different ten-year windows on the PSX rather than the single period studied here.</w:t>
      </w:r>
    </w:p>
    <w:p w14:paraId="46BC2DDE" w14:textId="77777777" w:rsidR="00CD5869" w:rsidRPr="008A1066" w:rsidRDefault="00CD5869" w:rsidP="00CD5869">
      <w:pPr>
        <w:pStyle w:val="Heading1"/>
        <w:rPr>
          <w:b/>
          <w:bCs/>
          <w:color w:val="000000" w:themeColor="text1"/>
          <w:sz w:val="36"/>
          <w:szCs w:val="36"/>
        </w:rPr>
      </w:pPr>
      <w:r w:rsidRPr="008A1066">
        <w:rPr>
          <w:b/>
          <w:bCs/>
          <w:color w:val="000000" w:themeColor="text1"/>
          <w:sz w:val="36"/>
          <w:szCs w:val="36"/>
        </w:rPr>
        <w:t>References</w:t>
      </w:r>
    </w:p>
    <w:p w14:paraId="3C38746A" w14:textId="77777777" w:rsidR="00CD5869" w:rsidRDefault="00CD5869" w:rsidP="00CD5869">
      <w:pPr>
        <w:spacing w:line="276" w:lineRule="auto"/>
      </w:pPr>
      <w:r>
        <w:t>Carhart, M.M. (1997) 'On Persistence in Mutual Fund Performance', The Journal of Finance, 52(1), pp. 57–82.</w:t>
      </w:r>
    </w:p>
    <w:p w14:paraId="5CD6ED62" w14:textId="77777777" w:rsidR="00CD5869" w:rsidRDefault="00CD5869" w:rsidP="00CD5869">
      <w:pPr>
        <w:spacing w:line="276" w:lineRule="auto"/>
      </w:pPr>
      <w:proofErr w:type="spellStart"/>
      <w:r>
        <w:t>Foltice</w:t>
      </w:r>
      <w:proofErr w:type="spellEnd"/>
      <w:r>
        <w:t>, B. and Langer, T. (2015) 'Profitable Momentum Trading Strategies for Individual Investors', Financial Markets and Portfolio Management, 29(2), pp. 85–113.</w:t>
      </w:r>
    </w:p>
    <w:p w14:paraId="3C5DB180" w14:textId="77777777" w:rsidR="00CD5869" w:rsidRDefault="00CD5869" w:rsidP="00CD5869">
      <w:pPr>
        <w:spacing w:line="276" w:lineRule="auto"/>
      </w:pPr>
      <w:r>
        <w:t>Jegadeesh, N. and Titman, S. (1993) 'Returns to Buying Winners and Selling Losers: Implications for Stock Market Efficiency', The Journal of Finance, 48(1), pp. 65–91.</w:t>
      </w:r>
    </w:p>
    <w:p w14:paraId="716F60BA" w14:textId="77777777" w:rsidR="00CD5869" w:rsidRDefault="00CD5869" w:rsidP="00CD5869">
      <w:pPr>
        <w:spacing w:line="276" w:lineRule="auto"/>
      </w:pPr>
      <w:r>
        <w:t>Pakistan Stock Exchange (2024) Historical Index Data — KSE-100. Available at: PSX official data archive (Accessed: 2025).</w:t>
      </w:r>
    </w:p>
    <w:p w14:paraId="58DEA89E" w14:textId="77777777" w:rsidR="00CD5869" w:rsidRDefault="00CD5869" w:rsidP="00CD5869">
      <w:pPr>
        <w:spacing w:line="276" w:lineRule="auto"/>
      </w:pPr>
      <w:r>
        <w:t>State Bank of Pakistan (2024) Structure of Interest Rates — T-Bill Auction Results. Available at: SBP statistics portal (Accessed: 2025).</w:t>
      </w:r>
    </w:p>
    <w:p w14:paraId="6B7732C6" w14:textId="70F7A8B6" w:rsidR="00CD5869" w:rsidRDefault="00CD5869" w:rsidP="00CD5869"/>
    <w:sectPr w:rsidR="00CD5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869"/>
    <w:rsid w:val="00716FC3"/>
    <w:rsid w:val="008A1066"/>
    <w:rsid w:val="00CD5869"/>
    <w:rsid w:val="00E5443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5ED8F"/>
  <w15:chartTrackingRefBased/>
  <w15:docId w15:val="{F3CA991D-FC07-49C8-8AC8-CB323589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5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5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869"/>
    <w:rPr>
      <w:rFonts w:eastAsiaTheme="majorEastAsia" w:cstheme="majorBidi"/>
      <w:color w:val="272727" w:themeColor="text1" w:themeTint="D8"/>
    </w:rPr>
  </w:style>
  <w:style w:type="paragraph" w:styleId="Title">
    <w:name w:val="Title"/>
    <w:basedOn w:val="Normal"/>
    <w:next w:val="Normal"/>
    <w:link w:val="TitleChar"/>
    <w:uiPriority w:val="10"/>
    <w:qFormat/>
    <w:rsid w:val="00CD5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869"/>
    <w:pPr>
      <w:spacing w:before="160"/>
      <w:jc w:val="center"/>
    </w:pPr>
    <w:rPr>
      <w:i/>
      <w:iCs/>
      <w:color w:val="404040" w:themeColor="text1" w:themeTint="BF"/>
    </w:rPr>
  </w:style>
  <w:style w:type="character" w:customStyle="1" w:styleId="QuoteChar">
    <w:name w:val="Quote Char"/>
    <w:basedOn w:val="DefaultParagraphFont"/>
    <w:link w:val="Quote"/>
    <w:uiPriority w:val="29"/>
    <w:rsid w:val="00CD5869"/>
    <w:rPr>
      <w:i/>
      <w:iCs/>
      <w:color w:val="404040" w:themeColor="text1" w:themeTint="BF"/>
    </w:rPr>
  </w:style>
  <w:style w:type="paragraph" w:styleId="ListParagraph">
    <w:name w:val="List Paragraph"/>
    <w:basedOn w:val="Normal"/>
    <w:uiPriority w:val="34"/>
    <w:qFormat/>
    <w:rsid w:val="00CD5869"/>
    <w:pPr>
      <w:ind w:left="720"/>
      <w:contextualSpacing/>
    </w:pPr>
  </w:style>
  <w:style w:type="character" w:styleId="IntenseEmphasis">
    <w:name w:val="Intense Emphasis"/>
    <w:basedOn w:val="DefaultParagraphFont"/>
    <w:uiPriority w:val="21"/>
    <w:qFormat/>
    <w:rsid w:val="00CD5869"/>
    <w:rPr>
      <w:i/>
      <w:iCs/>
      <w:color w:val="2F5496" w:themeColor="accent1" w:themeShade="BF"/>
    </w:rPr>
  </w:style>
  <w:style w:type="paragraph" w:styleId="IntenseQuote">
    <w:name w:val="Intense Quote"/>
    <w:basedOn w:val="Normal"/>
    <w:next w:val="Normal"/>
    <w:link w:val="IntenseQuoteChar"/>
    <w:uiPriority w:val="30"/>
    <w:qFormat/>
    <w:rsid w:val="00CD5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869"/>
    <w:rPr>
      <w:i/>
      <w:iCs/>
      <w:color w:val="2F5496" w:themeColor="accent1" w:themeShade="BF"/>
    </w:rPr>
  </w:style>
  <w:style w:type="character" w:styleId="IntenseReference">
    <w:name w:val="Intense Reference"/>
    <w:basedOn w:val="DefaultParagraphFont"/>
    <w:uiPriority w:val="32"/>
    <w:qFormat/>
    <w:rsid w:val="00CD58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3274</Words>
  <Characters>18668</Characters>
  <Application>Microsoft Office Word</Application>
  <DocSecurity>0</DocSecurity>
  <Lines>155</Lines>
  <Paragraphs>43</Paragraphs>
  <ScaleCrop>false</ScaleCrop>
  <Company/>
  <LinksUpToDate>false</LinksUpToDate>
  <CharactersWithSpaces>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Sabir</dc:creator>
  <cp:keywords/>
  <dc:description/>
  <cp:lastModifiedBy>Daniyal Sabir</cp:lastModifiedBy>
  <cp:revision>2</cp:revision>
  <dcterms:created xsi:type="dcterms:W3CDTF">2026-07-02T08:34:00Z</dcterms:created>
  <dcterms:modified xsi:type="dcterms:W3CDTF">2026-07-02T09:47:00Z</dcterms:modified>
</cp:coreProperties>
</file>