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2E5339"/>
          <w:sz w:val="56"/>
          <w:szCs w:val="56"/>
        </w:rPr>
        <w:t xml:space="preserve">Lignum ICP Scoring System</w:t>
      </w:r>
    </w:p>
    <w:p>
      <w:pPr>
        <w:spacing w:after="800" w:before="200"/>
        <w:jc w:val="center"/>
      </w:pPr>
      <w:r>
        <w:rPr>
          <w:color w:val="374151"/>
          <w:sz w:val="30"/>
          <w:szCs w:val="30"/>
        </w:rPr>
        <w:t xml:space="preserve">Project Handover Document</w:t>
      </w:r>
    </w:p>
    <w:p>
      <w:pPr>
        <w:pBdr>
          <w:top w:val="single" w:color="2E5339" w:sz="6" w:space="8"/>
        </w:pBdr>
        <w:spacing w:before="1400"/>
      </w:pPr>
    </w:p>
    <w:p>
      <w:pPr>
        <w:spacing w:before="300"/>
      </w:pPr>
      <w:r>
        <w:rPr>
          <w:b/>
          <w:bCs/>
        </w:rPr>
        <w:t xml:space="preserve">Prepared for:  </w:t>
      </w:r>
      <w:r>
        <w:t xml:space="preserve">Lignum Group</w:t>
      </w:r>
    </w:p>
    <w:p>
      <w:pPr>
        <w:spacing w:before="120"/>
      </w:pPr>
      <w:r>
        <w:rPr>
          <w:b/>
          <w:bCs/>
        </w:rPr>
        <w:t xml:space="preserve">Prepared by:  </w:t>
      </w:r>
      <w:r>
        <w:t xml:space="preserve">Syed Hassan Ul Haq</w:t>
      </w:r>
    </w:p>
    <w:p>
      <w:pPr>
        <w:spacing w:before="120"/>
      </w:pPr>
      <w:r>
        <w:rPr>
          <w:b/>
          <w:bCs/>
        </w:rPr>
        <w:t xml:space="preserve">Date:  </w:t>
      </w:r>
      <w:r>
        <w:t xml:space="preserve">20 September 2026</w:t>
      </w:r>
    </w:p>
    <w:p>
      <w:pPr>
        <w:spacing w:before="120"/>
      </w:pPr>
      <w:r>
        <w:rPr>
          <w:b/>
          <w:bCs/>
        </w:rPr>
        <w:t xml:space="preserve">Document version:  </w:t>
      </w:r>
      <w:r>
        <w:t xml:space="preserve">1.0</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System Overview</w:t>
      </w:r>
    </w:p>
    <w:p>
      <w:pPr>
        <w:spacing w:after="160"/>
      </w:pPr>
      <w:r>
        <w:t xml:space="preserve">The Lignum ICP Scoring System automates the early stages of business development: importing a list of target companies, enriching each one with financial and organisational data, classifying it against Lignum's sector taxonomy, and scoring it against one or more Ideal Customer Profiles (ICPs). The result is a ranked, filterable Target List the BD team can work from, plus a Triage queue for anything that needs a human decision.</w:t>
      </w:r>
    </w:p>
    <w:p>
      <w:pPr>
        <w:spacing w:after="160"/>
      </w:pPr>
      <w:r>
        <w:t xml:space="preserve">A separate Accounts module tracks companies Lignum already works with (synced from Loxo), including a manually-maintained Client Scorecard, Talent Insights, and an automatically-calculated Account Health score — a completely independent model from ICP scoring, covered in Section 4.2.</w:t>
      </w:r>
    </w:p>
    <w:p>
      <w:pPr>
        <w:pStyle w:val="Heading2"/>
        <w:spacing w:after="150" w:before="300"/>
      </w:pPr>
      <w:r>
        <w:t xml:space="preserve">Core technology stack</w:t>
      </w:r>
    </w:p>
    <w:p>
      <w:pPr>
        <w:pStyle w:val="ListParagraph"/>
        <w:numPr>
          <w:ilvl w:val="0"/>
          <w:numId w:val="2"/>
        </w:numPr>
        <w:spacing w:after="80"/>
      </w:pPr>
      <w:r>
        <w:t xml:space="preserve">Next.js — the web application the team uses day to day (Target List, Accounts, Triage, Admin, etc.).</w:t>
      </w:r>
    </w:p>
    <w:p>
      <w:pPr>
        <w:pStyle w:val="ListParagraph"/>
        <w:numPr>
          <w:ilvl w:val="0"/>
          <w:numId w:val="2"/>
        </w:numPr>
        <w:spacing w:after="80"/>
      </w:pPr>
      <w:r>
        <w:t xml:space="preserve">Supabase — the database (Postgres) and user authentication behind the app.</w:t>
      </w:r>
    </w:p>
    <w:p>
      <w:pPr>
        <w:pStyle w:val="ListParagraph"/>
        <w:numPr>
          <w:ilvl w:val="0"/>
          <w:numId w:val="2"/>
        </w:numPr>
        <w:spacing w:after="80"/>
      </w:pPr>
      <w:r>
        <w:t xml:space="preserve">n8n — the workflow automation engine that runs the import → enrich → classify → score pipeline.</w:t>
      </w:r>
    </w:p>
    <w:p>
      <w:pPr>
        <w:pStyle w:val="ListParagraph"/>
        <w:numPr>
          <w:ilvl w:val="0"/>
          <w:numId w:val="2"/>
        </w:numPr>
        <w:spacing w:after="80"/>
      </w:pPr>
      <w:r>
        <w:t xml:space="preserve">OpenAI (via n8n) — the LLM used for sector classification, entity matching, and fit-rule judging.</w:t>
      </w:r>
    </w:p>
    <w:p>
      <w:pPr>
        <w:pStyle w:val="ListParagraph"/>
        <w:numPr>
          <w:ilvl w:val="0"/>
          <w:numId w:val="2"/>
        </w:numPr>
        <w:spacing w:after="80"/>
      </w:pPr>
      <w:r>
        <w:t xml:space="preserve">Cognism &amp; Creditsafe — the two external data providers enrichment is pulled from.</w:t>
      </w:r>
    </w:p>
    <w:p>
      <w:pPr>
        <w:pStyle w:val="ListParagraph"/>
        <w:numPr>
          <w:ilvl w:val="0"/>
          <w:numId w:val="2"/>
        </w:numPr>
        <w:spacing w:after="80"/>
      </w:pPr>
      <w:r>
        <w:t xml:space="preserve">Jina AI — a fallback web-reader used when a company's website can't be scraped directly.</w:t>
      </w:r>
    </w:p>
    <w:p>
      <w:pPr>
        <w:spacing w:after="120"/>
      </w:pPr>
    </w:p>
    <w:p>
      <w:pPr>
        <w:pStyle w:val="Heading1"/>
        <w:spacing w:after="200" w:before="400"/>
      </w:pPr>
      <w:r>
        <w:t xml:space="preserve">2. Architecture at a Glance</w:t>
      </w:r>
    </w:p>
    <w:p>
      <w:pPr>
        <w:spacing w:after="160"/>
      </w:pPr>
      <w:r>
        <w:t xml:space="preserve">Every company that enters the system passes through the same n8n pipeline, in this order:</w:t>
      </w:r>
    </w:p>
    <w:p>
      <w:pPr>
        <w:pStyle w:val="ListParagraph"/>
        <w:numPr>
          <w:ilvl w:val="0"/>
          <w:numId w:val="3"/>
        </w:numPr>
        <w:spacing w:after="80"/>
      </w:pPr>
      <w:r>
        <w:t xml:space="preserve">Trigger &amp; CSV Import — a spreadsheet of target companies is uploaded against a chosen ICP profile.</w:t>
      </w:r>
    </w:p>
    <w:p>
      <w:pPr>
        <w:pStyle w:val="ListParagraph"/>
        <w:numPr>
          <w:ilvl w:val="0"/>
          <w:numId w:val="3"/>
        </w:numPr>
        <w:spacing w:after="80"/>
      </w:pPr>
      <w:r>
        <w:t xml:space="preserve">Company Loop &amp; Re-Pull Gate — companies enriched too recently are skipped, to avoid wasting paid credits.</w:t>
      </w:r>
    </w:p>
    <w:p>
      <w:pPr>
        <w:pStyle w:val="ListParagraph"/>
        <w:numPr>
          <w:ilvl w:val="0"/>
          <w:numId w:val="3"/>
        </w:numPr>
        <w:spacing w:after="80"/>
      </w:pPr>
      <w:r>
        <w:t xml:space="preserve">Free Enrichment &amp; Cost Gate — a free Cognism check confirms there's enough data to be worth spending paid credits on.</w:t>
      </w:r>
    </w:p>
    <w:p>
      <w:pPr>
        <w:pStyle w:val="ListParagraph"/>
        <w:numPr>
          <w:ilvl w:val="0"/>
          <w:numId w:val="3"/>
        </w:numPr>
        <w:spacing w:after="80"/>
      </w:pPr>
      <w:r>
        <w:t xml:space="preserve">Entity Matching Engine — Cognism and Creditsafe are searched for the same real-world company; an LLM scores how confident each candidate match is.</w:t>
      </w:r>
    </w:p>
    <w:p>
      <w:pPr>
        <w:pStyle w:val="ListParagraph"/>
        <w:numPr>
          <w:ilvl w:val="0"/>
          <w:numId w:val="3"/>
        </w:numPr>
        <w:spacing w:after="80"/>
      </w:pPr>
      <w:r>
        <w:t xml:space="preserve">Entity Resolution (manual) — if the match is ambiguous, the company lands in Triage for a human to confirm.</w:t>
      </w:r>
    </w:p>
    <w:p>
      <w:pPr>
        <w:pStyle w:val="ListParagraph"/>
        <w:numPr>
          <w:ilvl w:val="0"/>
          <w:numId w:val="3"/>
        </w:numPr>
        <w:spacing w:after="80"/>
      </w:pPr>
      <w:r>
        <w:t xml:space="preserve">Paid Enrichment — the full Creditsafe credit report and Cognism account record are pulled.</w:t>
      </w:r>
    </w:p>
    <w:p>
      <w:pPr>
        <w:pStyle w:val="ListParagraph"/>
        <w:numPr>
          <w:ilvl w:val="0"/>
          <w:numId w:val="3"/>
        </w:numPr>
        <w:spacing w:after="80"/>
      </w:pPr>
      <w:r>
        <w:t xml:space="preserve">Scraping Engine — the company's own website is read (with an AI-reader fallback if it can't be scraped directly).</w:t>
      </w:r>
    </w:p>
    <w:p>
      <w:pPr>
        <w:pStyle w:val="ListParagraph"/>
        <w:numPr>
          <w:ilvl w:val="0"/>
          <w:numId w:val="3"/>
        </w:numPr>
        <w:spacing w:after="80"/>
      </w:pPr>
      <w:r>
        <w:t xml:space="preserve">Classification Engine — an LLM assigns a sector and sub-sector from Lignum's taxonomy, based on the scraped content.</w:t>
      </w:r>
    </w:p>
    <w:p>
      <w:pPr>
        <w:pStyle w:val="ListParagraph"/>
        <w:numPr>
          <w:ilvl w:val="0"/>
          <w:numId w:val="3"/>
        </w:numPr>
        <w:spacing w:after="80"/>
      </w:pPr>
      <w:r>
        <w:t xml:space="preserve">Scoring Engine — the company is scored against the chosen ICP profile's current weights, bands, and fit rules.</w:t>
      </w:r>
    </w:p>
    <w:p>
      <w:pPr>
        <w:spacing w:after="160"/>
      </w:pPr>
      <w:r>
        <w:t xml:space="preserve">An Automatic Repull schedule can optionally re-run this whole pipeline overnight for any company whose data has gone stale, without a new import.</w:t>
      </w:r>
    </w:p>
    <w:p>
      <w:pPr>
        <w:spacing w:after="160"/>
      </w:pPr>
      <w:r>
        <w:t xml:space="preserve">Everything the pipeline produces is written straight to Supabase, and the Next.js app reads it live — there is no separate sync step, and pages refresh automatically roughly every 5 seconds.</w:t>
      </w:r>
    </w:p>
    <w:p>
      <w:pPr>
        <w:spacing w:after="120"/>
      </w:pPr>
    </w:p>
    <w:p>
      <w:pPr>
        <w:pStyle w:val="Heading1"/>
        <w:spacing w:after="200" w:before="400"/>
      </w:pPr>
      <w:r>
        <w:t xml:space="preserve">3. Application Walkthrough</w:t>
      </w:r>
    </w:p>
    <w:p>
      <w:pPr>
        <w:spacing w:after="160"/>
      </w:pPr>
      <w:r>
        <w:t xml:space="preserve">This section walks through each page in the app. Insert a current screenshot in each placeholder box below before sending this document onward.</w:t>
      </w:r>
    </w:p>
    <w:p>
      <w:pPr>
        <w:pStyle w:val="Heading2"/>
        <w:spacing w:after="150" w:before="300"/>
      </w:pPr>
      <w:r>
        <w:t xml:space="preserve">3.1 Home</w:t>
      </w:r>
    </w:p>
    <w:p>
      <w:pPr>
        <w:spacing w:after="160"/>
      </w:pPr>
      <w:r>
        <w:t xml:space="preserve">An at-a-glance dashboard: how many companies are waiting in Triage, how many are entity-ambiguous or low-confidence, how many were scored this week, and how many are in progress or failed — each a shortcut into the relevant queue.</w:t>
      </w:r>
    </w:p>
    <w:tbl>
      <w:tblPr>
        <w:tblW w:type="pct" w:w="100%"/>
        <w:tblBorders>
          <w:top w:val="dashed" w:color="9CA3AF" w:sz="4"/>
          <w:left w:val="dashed" w:color="9CA3AF" w:sz="4"/>
          <w:bottom w:val="dashed" w:color="9CA3AF" w:sz="4"/>
          <w:right w:val="dashed" w:color="9CA3AF" w:sz="4"/>
          <w:insideH w:val="single" w:color="auto" w:sz="4"/>
          <w:insideV w:val="single" w:color="auto" w:sz="4"/>
        </w:tblBorders>
      </w:tblPr>
      <w:tblGrid>
        <w:gridCol w:w="100"/>
      </w:tblGrid>
      <w:tr>
        <w:tc>
          <w:tcPr>
            <w:shd w:fill="F9FAFB" w:val="clear"/>
            <w:tcMar>
              <w:top w:type="dxa" w:w="200"/>
              <w:left w:type="dxa" w:w="200"/>
              <w:bottom w:type="dxa" w:w="200"/>
              <w:right w:type="dxa" w:w="200"/>
            </w:tcMar>
            <w:vAlign w:val="center"/>
          </w:tcPr>
          <w:p>
            <w:pPr>
              <w:spacing w:after="60"/>
              <w:jc w:val="center"/>
            </w:pPr>
            <w:r>
              <w:rPr>
                <w:b/>
                <w:bCs/>
                <w:color w:val="6B7280"/>
              </w:rPr>
              <w:t xml:space="preserve">[ SCREENSHOT — Home dashboard ]</w:t>
            </w:r>
          </w:p>
          <w:p>
            <w:pPr>
              <w:jc w:val="center"/>
            </w:pPr>
            <w:r>
              <w:rPr>
                <w:i/>
                <w:iCs/>
                <w:color w:val="9CA3AF"/>
                <w:sz w:val="18"/>
                <w:szCs w:val="18"/>
              </w:rPr>
              <w:t xml:space="preserve">Full-page screenshot of the Home page.</w:t>
            </w:r>
          </w:p>
        </w:tc>
      </w:tr>
    </w:tbl>
    <w:p>
      <w:pPr>
        <w:spacing w:after="120"/>
      </w:pPr>
    </w:p>
    <w:p>
      <w:pPr>
        <w:pStyle w:val="Heading2"/>
        <w:spacing w:after="150" w:before="300"/>
      </w:pPr>
      <w:r>
        <w:t xml:space="preserve">3.2 Import &amp; Queue</w:t>
      </w:r>
    </w:p>
    <w:p>
      <w:pPr>
        <w:spacing w:after="160"/>
      </w:pPr>
      <w:r>
        <w:t xml:space="preserve">Where a new batch of target companies is uploaded (as a CSV) against a chosen ICP profile, kicking off the enrichment pipeline described in Section 2.</w:t>
      </w:r>
    </w:p>
    <w:tbl>
      <w:tblPr>
        <w:tblW w:type="pct" w:w="100%"/>
        <w:tblBorders>
          <w:top w:val="dashed" w:color="9CA3AF" w:sz="4"/>
          <w:left w:val="dashed" w:color="9CA3AF" w:sz="4"/>
          <w:bottom w:val="dashed" w:color="9CA3AF" w:sz="4"/>
          <w:right w:val="dashed" w:color="9CA3AF" w:sz="4"/>
          <w:insideH w:val="single" w:color="auto" w:sz="4"/>
          <w:insideV w:val="single" w:color="auto" w:sz="4"/>
        </w:tblBorders>
      </w:tblPr>
      <w:tblGrid>
        <w:gridCol w:w="100"/>
      </w:tblGrid>
      <w:tr>
        <w:tc>
          <w:tcPr>
            <w:shd w:fill="F9FAFB" w:val="clear"/>
            <w:tcMar>
              <w:top w:type="dxa" w:w="200"/>
              <w:left w:type="dxa" w:w="200"/>
              <w:bottom w:type="dxa" w:w="200"/>
              <w:right w:type="dxa" w:w="200"/>
            </w:tcMar>
            <w:vAlign w:val="center"/>
          </w:tcPr>
          <w:p>
            <w:pPr>
              <w:spacing w:after="60"/>
              <w:jc w:val="center"/>
            </w:pPr>
            <w:r>
              <w:rPr>
                <w:b/>
                <w:bCs/>
                <w:color w:val="6B7280"/>
              </w:rPr>
              <w:t xml:space="preserve">[ SCREENSHOT — Import &amp; Queue ]</w:t>
            </w:r>
          </w:p>
          <w:p>
            <w:pPr>
              <w:jc w:val="center"/>
            </w:pPr>
            <w:r>
              <w:rPr>
                <w:i/>
                <w:iCs/>
                <w:color w:val="9CA3AF"/>
                <w:sz w:val="18"/>
                <w:szCs w:val="18"/>
              </w:rPr>
              <w:t xml:space="preserve">Screenshot of the import page, including the CSV upload control.</w:t>
            </w:r>
          </w:p>
        </w:tc>
      </w:tr>
    </w:tbl>
    <w:p>
      <w:pPr>
        <w:spacing w:after="120"/>
      </w:pPr>
    </w:p>
    <w:p>
      <w:pPr>
        <w:pStyle w:val="Heading2"/>
        <w:spacing w:after="150" w:before="300"/>
      </w:pPr>
      <w:r>
        <w:t xml:space="preserve">3.3 Triage</w:t>
      </w:r>
    </w:p>
    <w:p>
      <w:pPr>
        <w:spacing w:after="160"/>
      </w:pPr>
      <w:r>
        <w:t xml:space="preserve">Companies the pipeline couldn't fully resolve on its own — an ambiguous Cognism/Creditsafe match, a low-confidence sector classification, or a processing error — land here for a human to review, resolve, or reject.</w:t>
      </w:r>
    </w:p>
    <w:tbl>
      <w:tblPr>
        <w:tblW w:type="pct" w:w="100%"/>
        <w:tblBorders>
          <w:top w:val="dashed" w:color="9CA3AF" w:sz="4"/>
          <w:left w:val="dashed" w:color="9CA3AF" w:sz="4"/>
          <w:bottom w:val="dashed" w:color="9CA3AF" w:sz="4"/>
          <w:right w:val="dashed" w:color="9CA3AF" w:sz="4"/>
          <w:insideH w:val="single" w:color="auto" w:sz="4"/>
          <w:insideV w:val="single" w:color="auto" w:sz="4"/>
        </w:tblBorders>
      </w:tblPr>
      <w:tblGrid>
        <w:gridCol w:w="100"/>
      </w:tblGrid>
      <w:tr>
        <w:tc>
          <w:tcPr>
            <w:shd w:fill="F9FAFB" w:val="clear"/>
            <w:tcMar>
              <w:top w:type="dxa" w:w="200"/>
              <w:left w:type="dxa" w:w="200"/>
              <w:bottom w:type="dxa" w:w="200"/>
              <w:right w:type="dxa" w:w="200"/>
            </w:tcMar>
            <w:vAlign w:val="center"/>
          </w:tcPr>
          <w:p>
            <w:pPr>
              <w:spacing w:after="60"/>
              <w:jc w:val="center"/>
            </w:pPr>
            <w:r>
              <w:rPr>
                <w:b/>
                <w:bCs/>
                <w:color w:val="6B7280"/>
              </w:rPr>
              <w:t xml:space="preserve">[ SCREENSHOT — Triage queue ]</w:t>
            </w:r>
          </w:p>
          <w:p>
            <w:pPr>
              <w:jc w:val="center"/>
            </w:pPr>
            <w:r>
              <w:rPr>
                <w:i/>
                <w:iCs/>
                <w:color w:val="9CA3AF"/>
                <w:sz w:val="18"/>
                <w:szCs w:val="18"/>
              </w:rPr>
              <w:t xml:space="preserve">Screenshot showing a few triage cards, including one with an ambiguous-entity confirmation prompt.</w:t>
            </w:r>
          </w:p>
        </w:tc>
      </w:tr>
    </w:tbl>
    <w:p>
      <w:pPr>
        <w:spacing w:after="120"/>
      </w:pPr>
    </w:p>
    <w:p>
      <w:pPr>
        <w:pStyle w:val="Heading2"/>
        <w:spacing w:after="150" w:before="300"/>
      </w:pPr>
      <w:r>
        <w:t xml:space="preserve">3.4 Target List</w:t>
      </w:r>
    </w:p>
    <w:p>
      <w:pPr>
        <w:spacing w:after="160"/>
      </w:pPr>
      <w:r>
        <w:t xml:space="preserve">The core working list — every scored company, tabbed by ICP profile, filterable by tier, and searchable (search runs server-side with a short debounce, so it scales to a large list). Two views are available: Scorecard (a meter per scoring category) and Full detail (raw revenue, headcount, etc.). Clicking a company opens its full score breakdown, stored fields, and source attribution (e.g. whether a figure came from Cognism or a Creditsafe fallback).</w:t>
      </w:r>
    </w:p>
    <w:tbl>
      <w:tblPr>
        <w:tblW w:type="pct" w:w="100%"/>
        <w:tblBorders>
          <w:top w:val="dashed" w:color="9CA3AF" w:sz="4"/>
          <w:left w:val="dashed" w:color="9CA3AF" w:sz="4"/>
          <w:bottom w:val="dashed" w:color="9CA3AF" w:sz="4"/>
          <w:right w:val="dashed" w:color="9CA3AF" w:sz="4"/>
          <w:insideH w:val="single" w:color="auto" w:sz="4"/>
          <w:insideV w:val="single" w:color="auto" w:sz="4"/>
        </w:tblBorders>
      </w:tblPr>
      <w:tblGrid>
        <w:gridCol w:w="100"/>
      </w:tblGrid>
      <w:tr>
        <w:tc>
          <w:tcPr>
            <w:shd w:fill="F9FAFB" w:val="clear"/>
            <w:tcMar>
              <w:top w:type="dxa" w:w="200"/>
              <w:left w:type="dxa" w:w="200"/>
              <w:bottom w:type="dxa" w:w="200"/>
              <w:right w:type="dxa" w:w="200"/>
            </w:tcMar>
            <w:vAlign w:val="center"/>
          </w:tcPr>
          <w:p>
            <w:pPr>
              <w:spacing w:after="60"/>
              <w:jc w:val="center"/>
            </w:pPr>
            <w:r>
              <w:rPr>
                <w:b/>
                <w:bCs/>
                <w:color w:val="6B7280"/>
              </w:rPr>
              <w:t xml:space="preserve">[ SCREENSHOT — Target List — Scorecard view ]</w:t>
            </w:r>
          </w:p>
          <w:p>
            <w:pPr>
              <w:jc w:val="center"/>
            </w:pPr>
            <w:r>
              <w:rPr>
                <w:i/>
                <w:iCs/>
                <w:color w:val="9CA3AF"/>
                <w:sz w:val="18"/>
                <w:szCs w:val="18"/>
              </w:rPr>
              <w:t xml:space="preserve">Screenshot of the main Target List table in Scorecard view, with a few rows visible.</w:t>
            </w:r>
          </w:p>
        </w:tc>
      </w:tr>
    </w:tbl>
    <w:tbl>
      <w:tblPr>
        <w:tblW w:type="pct" w:w="100%"/>
        <w:tblBorders>
          <w:top w:val="dashed" w:color="9CA3AF" w:sz="4"/>
          <w:left w:val="dashed" w:color="9CA3AF" w:sz="4"/>
          <w:bottom w:val="dashed" w:color="9CA3AF" w:sz="4"/>
          <w:right w:val="dashed" w:color="9CA3AF" w:sz="4"/>
          <w:insideH w:val="single" w:color="auto" w:sz="4"/>
          <w:insideV w:val="single" w:color="auto" w:sz="4"/>
        </w:tblBorders>
      </w:tblPr>
      <w:tblGrid>
        <w:gridCol w:w="100"/>
      </w:tblGrid>
      <w:tr>
        <w:tc>
          <w:tcPr>
            <w:shd w:fill="F9FAFB" w:val="clear"/>
            <w:tcMar>
              <w:top w:type="dxa" w:w="200"/>
              <w:left w:type="dxa" w:w="200"/>
              <w:bottom w:type="dxa" w:w="200"/>
              <w:right w:type="dxa" w:w="200"/>
            </w:tcMar>
            <w:vAlign w:val="center"/>
          </w:tcPr>
          <w:p>
            <w:pPr>
              <w:spacing w:after="60"/>
              <w:jc w:val="center"/>
            </w:pPr>
            <w:r>
              <w:rPr>
                <w:b/>
                <w:bCs/>
                <w:color w:val="6B7280"/>
              </w:rPr>
              <w:t xml:space="preserve">[ SCREENSHOT — Target List — company detail page ]</w:t>
            </w:r>
          </w:p>
          <w:p>
            <w:pPr>
              <w:jc w:val="center"/>
            </w:pPr>
            <w:r>
              <w:rPr>
                <w:i/>
                <w:iCs/>
                <w:color w:val="9CA3AF"/>
                <w:sz w:val="18"/>
                <w:szCs w:val="18"/>
              </w:rPr>
              <w:t xml:space="preserve">Screenshot of a single company's detail page, showing its score breakdown and stored fields table.</w:t>
            </w:r>
          </w:p>
        </w:tc>
      </w:tr>
    </w:tbl>
    <w:p>
      <w:pPr>
        <w:spacing w:after="120"/>
      </w:pPr>
    </w:p>
    <w:p>
      <w:pPr>
        <w:pStyle w:val="Heading2"/>
        <w:spacing w:after="150" w:before="300"/>
      </w:pPr>
      <w:r>
        <w:t xml:space="preserve">3.5 Contacts</w:t>
      </w:r>
    </w:p>
    <w:p>
      <w:pPr>
        <w:spacing w:after="160"/>
      </w:pPr>
      <w:r>
        <w:t xml:space="preserve">Decision-maker contacts pulled from Cognism for companies on the Target List, used to build outreach lists.</w:t>
      </w:r>
    </w:p>
    <w:tbl>
      <w:tblPr>
        <w:tblW w:type="pct" w:w="100%"/>
        <w:tblBorders>
          <w:top w:val="dashed" w:color="9CA3AF" w:sz="4"/>
          <w:left w:val="dashed" w:color="9CA3AF" w:sz="4"/>
          <w:bottom w:val="dashed" w:color="9CA3AF" w:sz="4"/>
          <w:right w:val="dashed" w:color="9CA3AF" w:sz="4"/>
          <w:insideH w:val="single" w:color="auto" w:sz="4"/>
          <w:insideV w:val="single" w:color="auto" w:sz="4"/>
        </w:tblBorders>
      </w:tblPr>
      <w:tblGrid>
        <w:gridCol w:w="100"/>
      </w:tblGrid>
      <w:tr>
        <w:tc>
          <w:tcPr>
            <w:shd w:fill="F9FAFB" w:val="clear"/>
            <w:tcMar>
              <w:top w:type="dxa" w:w="200"/>
              <w:left w:type="dxa" w:w="200"/>
              <w:bottom w:type="dxa" w:w="200"/>
              <w:right w:type="dxa" w:w="200"/>
            </w:tcMar>
            <w:vAlign w:val="center"/>
          </w:tcPr>
          <w:p>
            <w:pPr>
              <w:spacing w:after="60"/>
              <w:jc w:val="center"/>
            </w:pPr>
            <w:r>
              <w:rPr>
                <w:b/>
                <w:bCs/>
                <w:color w:val="6B7280"/>
              </w:rPr>
              <w:t xml:space="preserve">[ SCREENSHOT — Contacts ]</w:t>
            </w:r>
          </w:p>
          <w:p>
            <w:pPr>
              <w:jc w:val="center"/>
            </w:pPr>
            <w:r>
              <w:rPr>
                <w:i/>
                <w:iCs/>
                <w:color w:val="9CA3AF"/>
                <w:sz w:val="18"/>
                <w:szCs w:val="18"/>
              </w:rPr>
              <w:t xml:space="preserve">Screenshot of the Contacts page.</w:t>
            </w:r>
          </w:p>
        </w:tc>
      </w:tr>
    </w:tbl>
    <w:p>
      <w:pPr>
        <w:spacing w:after="120"/>
      </w:pPr>
    </w:p>
    <w:p>
      <w:pPr>
        <w:pStyle w:val="Heading2"/>
        <w:spacing w:after="150" w:before="300"/>
      </w:pPr>
      <w:r>
        <w:t xml:space="preserve">3.6 Accounts</w:t>
      </w:r>
    </w:p>
    <w:p>
      <w:pPr>
        <w:spacing w:after="160"/>
      </w:pPr>
      <w:r>
        <w:t xml:space="preserve">A separate module for companies Lignum already works with, synced from Loxo. Each account has firmographics (revenue, headcount, credit rating, credit limit, etc.), a manually-entered Client Scorecard, Talent Insights, and an automatically-calculated Account Health score — see Section 4.2 for how that score is built.</w:t>
      </w:r>
    </w:p>
    <w:tbl>
      <w:tblPr>
        <w:tblW w:type="pct" w:w="100%"/>
        <w:tblBorders>
          <w:top w:val="dashed" w:color="9CA3AF" w:sz="4"/>
          <w:left w:val="dashed" w:color="9CA3AF" w:sz="4"/>
          <w:bottom w:val="dashed" w:color="9CA3AF" w:sz="4"/>
          <w:right w:val="dashed" w:color="9CA3AF" w:sz="4"/>
          <w:insideH w:val="single" w:color="auto" w:sz="4"/>
          <w:insideV w:val="single" w:color="auto" w:sz="4"/>
        </w:tblBorders>
      </w:tblPr>
      <w:tblGrid>
        <w:gridCol w:w="100"/>
      </w:tblGrid>
      <w:tr>
        <w:tc>
          <w:tcPr>
            <w:shd w:fill="F9FAFB" w:val="clear"/>
            <w:tcMar>
              <w:top w:type="dxa" w:w="200"/>
              <w:left w:type="dxa" w:w="200"/>
              <w:bottom w:type="dxa" w:w="200"/>
              <w:right w:type="dxa" w:w="200"/>
            </w:tcMar>
            <w:vAlign w:val="center"/>
          </w:tcPr>
          <w:p>
            <w:pPr>
              <w:spacing w:after="60"/>
              <w:jc w:val="center"/>
            </w:pPr>
            <w:r>
              <w:rPr>
                <w:b/>
                <w:bCs/>
                <w:color w:val="6B7280"/>
              </w:rPr>
              <w:t xml:space="preserve">[ SCREENSHOT — Accounts list ]</w:t>
            </w:r>
          </w:p>
          <w:p>
            <w:pPr>
              <w:jc w:val="center"/>
            </w:pPr>
            <w:r>
              <w:rPr>
                <w:i/>
                <w:iCs/>
                <w:color w:val="9CA3AF"/>
                <w:sz w:val="18"/>
                <w:szCs w:val="18"/>
              </w:rPr>
              <w:t xml:space="preserve">Screenshot of the Accounts list view.</w:t>
            </w:r>
          </w:p>
        </w:tc>
      </w:tr>
    </w:tbl>
    <w:tbl>
      <w:tblPr>
        <w:tblW w:type="pct" w:w="100%"/>
        <w:tblBorders>
          <w:top w:val="dashed" w:color="9CA3AF" w:sz="4"/>
          <w:left w:val="dashed" w:color="9CA3AF" w:sz="4"/>
          <w:bottom w:val="dashed" w:color="9CA3AF" w:sz="4"/>
          <w:right w:val="dashed" w:color="9CA3AF" w:sz="4"/>
          <w:insideH w:val="single" w:color="auto" w:sz="4"/>
          <w:insideV w:val="single" w:color="auto" w:sz="4"/>
        </w:tblBorders>
      </w:tblPr>
      <w:tblGrid>
        <w:gridCol w:w="100"/>
      </w:tblGrid>
      <w:tr>
        <w:tc>
          <w:tcPr>
            <w:shd w:fill="F9FAFB" w:val="clear"/>
            <w:tcMar>
              <w:top w:type="dxa" w:w="200"/>
              <w:left w:type="dxa" w:w="200"/>
              <w:bottom w:type="dxa" w:w="200"/>
              <w:right w:type="dxa" w:w="200"/>
            </w:tcMar>
            <w:vAlign w:val="center"/>
          </w:tcPr>
          <w:p>
            <w:pPr>
              <w:spacing w:after="60"/>
              <w:jc w:val="center"/>
            </w:pPr>
            <w:r>
              <w:rPr>
                <w:b/>
                <w:bCs/>
                <w:color w:val="6B7280"/>
              </w:rPr>
              <w:t xml:space="preserve">[ SCREENSHOT — Account detail page ]</w:t>
            </w:r>
          </w:p>
          <w:p>
            <w:pPr>
              <w:jc w:val="center"/>
            </w:pPr>
            <w:r>
              <w:rPr>
                <w:i/>
                <w:iCs/>
                <w:color w:val="9CA3AF"/>
                <w:sz w:val="18"/>
                <w:szCs w:val="18"/>
              </w:rPr>
              <w:t xml:space="preserve">Screenshot of a single account's page, including the Account Health score card and firmographics.</w:t>
            </w:r>
          </w:p>
        </w:tc>
      </w:tr>
    </w:tbl>
    <w:p>
      <w:pPr>
        <w:spacing w:after="120"/>
      </w:pPr>
    </w:p>
    <w:p>
      <w:pPr>
        <w:pStyle w:val="Heading2"/>
        <w:spacing w:after="150" w:before="300"/>
      </w:pPr>
      <w:r>
        <w:t xml:space="preserve">3.7 Usage &amp; Audit</w:t>
      </w:r>
    </w:p>
    <w:p>
      <w:pPr>
        <w:spacing w:after="160"/>
      </w:pPr>
      <w:r>
        <w:t xml:space="preserve">Tracks credit spend across every enrichment run, so cost can be monitored and estimated before running a large import.</w:t>
      </w:r>
    </w:p>
    <w:tbl>
      <w:tblPr>
        <w:tblW w:type="pct" w:w="100%"/>
        <w:tblBorders>
          <w:top w:val="dashed" w:color="9CA3AF" w:sz="4"/>
          <w:left w:val="dashed" w:color="9CA3AF" w:sz="4"/>
          <w:bottom w:val="dashed" w:color="9CA3AF" w:sz="4"/>
          <w:right w:val="dashed" w:color="9CA3AF" w:sz="4"/>
          <w:insideH w:val="single" w:color="auto" w:sz="4"/>
          <w:insideV w:val="single" w:color="auto" w:sz="4"/>
        </w:tblBorders>
      </w:tblPr>
      <w:tblGrid>
        <w:gridCol w:w="100"/>
      </w:tblGrid>
      <w:tr>
        <w:tc>
          <w:tcPr>
            <w:shd w:fill="F9FAFB" w:val="clear"/>
            <w:tcMar>
              <w:top w:type="dxa" w:w="200"/>
              <w:left w:type="dxa" w:w="200"/>
              <w:bottom w:type="dxa" w:w="200"/>
              <w:right w:type="dxa" w:w="200"/>
            </w:tcMar>
            <w:vAlign w:val="center"/>
          </w:tcPr>
          <w:p>
            <w:pPr>
              <w:spacing w:after="60"/>
              <w:jc w:val="center"/>
            </w:pPr>
            <w:r>
              <w:rPr>
                <w:b/>
                <w:bCs/>
                <w:color w:val="6B7280"/>
              </w:rPr>
              <w:t xml:space="preserve">[ SCREENSHOT — Usage &amp; Audit ]</w:t>
            </w:r>
          </w:p>
          <w:p>
            <w:pPr>
              <w:jc w:val="center"/>
            </w:pPr>
            <w:r>
              <w:rPr>
                <w:i/>
                <w:iCs/>
                <w:color w:val="9CA3AF"/>
                <w:sz w:val="18"/>
                <w:szCs w:val="18"/>
              </w:rPr>
              <w:t xml:space="preserve">Screenshot of the Usage &amp; Audit page.</w:t>
            </w:r>
          </w:p>
        </w:tc>
      </w:tr>
    </w:tbl>
    <w:p>
      <w:pPr>
        <w:spacing w:after="120"/>
      </w:pPr>
    </w:p>
    <w:p>
      <w:pPr>
        <w:pStyle w:val="Heading2"/>
        <w:spacing w:after="150" w:before="300"/>
      </w:pPr>
      <w:r>
        <w:t xml:space="preserve">3.8 Analytics</w:t>
      </w:r>
    </w:p>
    <w:p>
      <w:pPr>
        <w:spacing w:after="160"/>
      </w:pPr>
      <w:r>
        <w:t xml:space="preserve">Portfolio-level reporting across the scored Target List.</w:t>
      </w:r>
    </w:p>
    <w:tbl>
      <w:tblPr>
        <w:tblW w:type="pct" w:w="100%"/>
        <w:tblBorders>
          <w:top w:val="dashed" w:color="9CA3AF" w:sz="4"/>
          <w:left w:val="dashed" w:color="9CA3AF" w:sz="4"/>
          <w:bottom w:val="dashed" w:color="9CA3AF" w:sz="4"/>
          <w:right w:val="dashed" w:color="9CA3AF" w:sz="4"/>
          <w:insideH w:val="single" w:color="auto" w:sz="4"/>
          <w:insideV w:val="single" w:color="auto" w:sz="4"/>
        </w:tblBorders>
      </w:tblPr>
      <w:tblGrid>
        <w:gridCol w:w="100"/>
      </w:tblGrid>
      <w:tr>
        <w:tc>
          <w:tcPr>
            <w:shd w:fill="F9FAFB" w:val="clear"/>
            <w:tcMar>
              <w:top w:type="dxa" w:w="200"/>
              <w:left w:type="dxa" w:w="200"/>
              <w:bottom w:type="dxa" w:w="200"/>
              <w:right w:type="dxa" w:w="200"/>
            </w:tcMar>
            <w:vAlign w:val="center"/>
          </w:tcPr>
          <w:p>
            <w:pPr>
              <w:spacing w:after="60"/>
              <w:jc w:val="center"/>
            </w:pPr>
            <w:r>
              <w:rPr>
                <w:b/>
                <w:bCs/>
                <w:color w:val="6B7280"/>
              </w:rPr>
              <w:t xml:space="preserve">[ SCREENSHOT — Analytics ]</w:t>
            </w:r>
          </w:p>
          <w:p>
            <w:pPr>
              <w:jc w:val="center"/>
            </w:pPr>
            <w:r>
              <w:rPr>
                <w:i/>
                <w:iCs/>
                <w:color w:val="9CA3AF"/>
                <w:sz w:val="18"/>
                <w:szCs w:val="18"/>
              </w:rPr>
              <w:t xml:space="preserve">Screenshot of the Analytics page.</w:t>
            </w:r>
          </w:p>
        </w:tc>
      </w:tr>
    </w:tbl>
    <w:p>
      <w:pPr>
        <w:spacing w:after="120"/>
      </w:pPr>
    </w:p>
    <w:p>
      <w:pPr>
        <w:pStyle w:val="Heading2"/>
        <w:spacing w:after="150" w:before="300"/>
      </w:pPr>
      <w:r>
        <w:t xml:space="preserve">3.9 Admin → Model Config</w:t>
      </w:r>
    </w:p>
    <w:p>
      <w:pPr>
        <w:spacing w:after="160"/>
      </w:pPr>
      <w:r>
        <w:t xml:space="preserve">Where both scoring models are configured, on a single page split into two clearly labelled zones: an “ICP Fit” zone (per-profile weights, bands and fit rules, sector taxonomy, tier thresholds, fit rule penalties, enrichment settings, automatic re-pull) and a “Global” zone (the Account Health model, which is unrelated to any ICP profile). See Sections 4 and 6 for the full explanation.</w:t>
      </w:r>
    </w:p>
    <w:tbl>
      <w:tblPr>
        <w:tblW w:type="pct" w:w="100%"/>
        <w:tblBorders>
          <w:top w:val="dashed" w:color="9CA3AF" w:sz="4"/>
          <w:left w:val="dashed" w:color="9CA3AF" w:sz="4"/>
          <w:bottom w:val="dashed" w:color="9CA3AF" w:sz="4"/>
          <w:right w:val="dashed" w:color="9CA3AF" w:sz="4"/>
          <w:insideH w:val="single" w:color="auto" w:sz="4"/>
          <w:insideV w:val="single" w:color="auto" w:sz="4"/>
        </w:tblBorders>
      </w:tblPr>
      <w:tblGrid>
        <w:gridCol w:w="100"/>
      </w:tblGrid>
      <w:tr>
        <w:tc>
          <w:tcPr>
            <w:shd w:fill="F9FAFB" w:val="clear"/>
            <w:tcMar>
              <w:top w:type="dxa" w:w="200"/>
              <w:left w:type="dxa" w:w="200"/>
              <w:bottom w:type="dxa" w:w="200"/>
              <w:right w:type="dxa" w:w="200"/>
            </w:tcMar>
            <w:vAlign w:val="center"/>
          </w:tcPr>
          <w:p>
            <w:pPr>
              <w:spacing w:after="60"/>
              <w:jc w:val="center"/>
            </w:pPr>
            <w:r>
              <w:rPr>
                <w:b/>
                <w:bCs/>
                <w:color w:val="6B7280"/>
              </w:rPr>
              <w:t xml:space="preserve">[ SCREENSHOT — Model config — ICP Fit zone ]</w:t>
            </w:r>
          </w:p>
          <w:p>
            <w:pPr>
              <w:jc w:val="center"/>
            </w:pPr>
            <w:r>
              <w:rPr>
                <w:i/>
                <w:iCs/>
                <w:color w:val="9CA3AF"/>
                <w:sz w:val="18"/>
                <w:szCs w:val="18"/>
              </w:rPr>
              <w:t xml:space="preserve">Screenshot of the top half of the Model Config page (ICP Fit zone).</w:t>
            </w:r>
          </w:p>
        </w:tc>
      </w:tr>
    </w:tbl>
    <w:tbl>
      <w:tblPr>
        <w:tblW w:type="pct" w:w="100%"/>
        <w:tblBorders>
          <w:top w:val="dashed" w:color="9CA3AF" w:sz="4"/>
          <w:left w:val="dashed" w:color="9CA3AF" w:sz="4"/>
          <w:bottom w:val="dashed" w:color="9CA3AF" w:sz="4"/>
          <w:right w:val="dashed" w:color="9CA3AF" w:sz="4"/>
          <w:insideH w:val="single" w:color="auto" w:sz="4"/>
          <w:insideV w:val="single" w:color="auto" w:sz="4"/>
        </w:tblBorders>
      </w:tblPr>
      <w:tblGrid>
        <w:gridCol w:w="100"/>
      </w:tblGrid>
      <w:tr>
        <w:tc>
          <w:tcPr>
            <w:shd w:fill="F9FAFB" w:val="clear"/>
            <w:tcMar>
              <w:top w:type="dxa" w:w="200"/>
              <w:left w:type="dxa" w:w="200"/>
              <w:bottom w:type="dxa" w:w="200"/>
              <w:right w:type="dxa" w:w="200"/>
            </w:tcMar>
            <w:vAlign w:val="center"/>
          </w:tcPr>
          <w:p>
            <w:pPr>
              <w:spacing w:after="60"/>
              <w:jc w:val="center"/>
            </w:pPr>
            <w:r>
              <w:rPr>
                <w:b/>
                <w:bCs/>
                <w:color w:val="6B7280"/>
              </w:rPr>
              <w:t xml:space="preserve">[ SCREENSHOT — Model config — Global zone ]</w:t>
            </w:r>
          </w:p>
          <w:p>
            <w:pPr>
              <w:jc w:val="center"/>
            </w:pPr>
            <w:r>
              <w:rPr>
                <w:i/>
                <w:iCs/>
                <w:color w:val="9CA3AF"/>
                <w:sz w:val="18"/>
                <w:szCs w:val="18"/>
              </w:rPr>
              <w:t xml:space="preserve">Screenshot of the bottom half of the Model Config page (Global / Account Health zone).</w:t>
            </w:r>
          </w:p>
        </w:tc>
      </w:tr>
    </w:tbl>
    <w:p>
      <w:pPr>
        <w:spacing w:after="120"/>
      </w:pPr>
    </w:p>
    <w:p>
      <w:pPr>
        <w:pStyle w:val="Heading2"/>
        <w:spacing w:after="150" w:before="300"/>
      </w:pPr>
      <w:r>
        <w:t xml:space="preserve">3.10 Admin → Users</w:t>
      </w:r>
    </w:p>
    <w:p>
      <w:pPr>
        <w:spacing w:after="160"/>
      </w:pPr>
      <w:r>
        <w:t xml:space="preserve">Controls who can sign in and whether they have admin access. New team members are added here, not in Supabase directly.</w:t>
      </w:r>
    </w:p>
    <w:tbl>
      <w:tblPr>
        <w:tblW w:type="pct" w:w="100%"/>
        <w:tblBorders>
          <w:top w:val="dashed" w:color="9CA3AF" w:sz="4"/>
          <w:left w:val="dashed" w:color="9CA3AF" w:sz="4"/>
          <w:bottom w:val="dashed" w:color="9CA3AF" w:sz="4"/>
          <w:right w:val="dashed" w:color="9CA3AF" w:sz="4"/>
          <w:insideH w:val="single" w:color="auto" w:sz="4"/>
          <w:insideV w:val="single" w:color="auto" w:sz="4"/>
        </w:tblBorders>
      </w:tblPr>
      <w:tblGrid>
        <w:gridCol w:w="100"/>
      </w:tblGrid>
      <w:tr>
        <w:tc>
          <w:tcPr>
            <w:shd w:fill="F9FAFB" w:val="clear"/>
            <w:tcMar>
              <w:top w:type="dxa" w:w="200"/>
              <w:left w:type="dxa" w:w="200"/>
              <w:bottom w:type="dxa" w:w="200"/>
              <w:right w:type="dxa" w:w="200"/>
            </w:tcMar>
            <w:vAlign w:val="center"/>
          </w:tcPr>
          <w:p>
            <w:pPr>
              <w:spacing w:after="60"/>
              <w:jc w:val="center"/>
            </w:pPr>
            <w:r>
              <w:rPr>
                <w:b/>
                <w:bCs/>
                <w:color w:val="6B7280"/>
              </w:rPr>
              <w:t xml:space="preserve">[ SCREENSHOT — Admin – Users ]</w:t>
            </w:r>
          </w:p>
          <w:p>
            <w:pPr>
              <w:jc w:val="center"/>
            </w:pPr>
            <w:r>
              <w:rPr>
                <w:i/>
                <w:iCs/>
                <w:color w:val="9CA3AF"/>
                <w:sz w:val="18"/>
                <w:szCs w:val="18"/>
              </w:rPr>
              <w:t xml:space="preserve">Screenshot of the Users page.</w:t>
            </w:r>
          </w:p>
        </w:tc>
      </w:tr>
    </w:tbl>
    <w:p>
      <w:pPr>
        <w:spacing w:after="120"/>
      </w:pPr>
    </w:p>
    <w:p>
      <w:pPr>
        <w:pStyle w:val="Heading1"/>
        <w:spacing w:after="200" w:before="400"/>
      </w:pPr>
      <w:r>
        <w:t xml:space="preserve">4. The Scoring Models</w:t>
      </w:r>
    </w:p>
    <w:p>
      <w:pPr>
        <w:spacing w:after="160"/>
      </w:pPr>
      <w:r>
        <w:t xml:space="preserve">There are two entirely independent scoring models in this system. They share nothing except the Model Config page they're both edited from.</w:t>
      </w:r>
    </w:p>
    <w:p>
      <w:pPr>
        <w:pStyle w:val="Heading2"/>
        <w:spacing w:after="150" w:before="300"/>
      </w:pPr>
      <w:r>
        <w:t xml:space="preserve">4.1 ICP Fit model</w:t>
      </w:r>
    </w:p>
    <w:p>
      <w:pPr>
        <w:spacing w:after="160"/>
      </w:pPr>
      <w:r>
        <w:t xml:space="preserve">Applies to every company on the Target List. A company is scored against whichever ICP profile it was imported under (e.g. Data Centres, Modular and Pre-Fabrication, Filtration Solutions, Commercial Construction). Each profile has its own independent weights and bands.</w:t>
      </w:r>
    </w:p>
    <w:p>
      <w:pPr>
        <w:spacing w:after="160"/>
      </w:pPr>
      <w:r>
        <w:rPr>
          <w:b/>
          <w:bCs/>
        </w:rPr>
        <w:t xml:space="preserve">Five weighted categories combine into the total score (the five weights must always add up to 100%):</w:t>
      </w:r>
    </w:p>
    <w:p>
      <w:pPr>
        <w:pStyle w:val="ListParagraph"/>
        <w:numPr>
          <w:ilvl w:val="0"/>
          <w:numId w:val="2"/>
        </w:numPr>
        <w:spacing w:after="80"/>
      </w:pPr>
      <w:r>
        <w:t xml:space="preserve">ICP Fit — whether the company's classified sector matches the profile's target sectors, adjusted by any violated fit rules (below).</w:t>
      </w:r>
    </w:p>
    <w:p>
      <w:pPr>
        <w:pStyle w:val="ListParagraph"/>
        <w:numPr>
          <w:ilvl w:val="0"/>
          <w:numId w:val="2"/>
        </w:numPr>
        <w:spacing w:after="80"/>
      </w:pPr>
      <w:r>
        <w:t xml:space="preserve">Scale &amp; Footprint — headcount, mapped through a configurable band table.</w:t>
      </w:r>
    </w:p>
    <w:p>
      <w:pPr>
        <w:pStyle w:val="ListParagraph"/>
        <w:numPr>
          <w:ilvl w:val="0"/>
          <w:numId w:val="2"/>
        </w:numPr>
        <w:spacing w:after="80"/>
      </w:pPr>
      <w:r>
        <w:t xml:space="preserve">Hiring &amp; Growth — recent hiring activity (last 180 days), mapped through a configurable band table.</w:t>
      </w:r>
    </w:p>
    <w:p>
      <w:pPr>
        <w:pStyle w:val="ListParagraph"/>
        <w:numPr>
          <w:ilvl w:val="0"/>
          <w:numId w:val="2"/>
        </w:numPr>
        <w:spacing w:after="80"/>
      </w:pPr>
      <w:r>
        <w:t xml:space="preserve">Financial Viability — annual revenue, mapped through a configurable band table.</w:t>
      </w:r>
    </w:p>
    <w:p>
      <w:pPr>
        <w:pStyle w:val="ListParagraph"/>
        <w:numPr>
          <w:ilvl w:val="0"/>
          <w:numId w:val="2"/>
        </w:numPr>
        <w:spacing w:after="80"/>
      </w:pPr>
      <w:r>
        <w:t xml:space="preserve">Credit Risk — Creditsafe's risk score, mapped through a configurable band table.</w:t>
      </w:r>
    </w:p>
    <w:p>
      <w:pPr>
        <w:spacing w:after="160"/>
      </w:pPr>
      <w:r>
        <w:t xml:space="preserve">Fit rules are plain-English requirements (e.g. “Company has more than 400 employees”) that an LLM judges against the company's Cognism/Creditsafe data. A violated hard requirement flags the company as a weak or no-match and subtracts a configurable penalty from ICP Fit; a violated soft signal subtracts a smaller configurable penalty. If a category has no usable data for a company (e.g. no revenue on file), it's excluded and the remaining weights are automatically rebalanced — the company is never penalised for missing data.</w:t>
      </w:r>
    </w:p>
    <w:p>
      <w:pPr>
        <w:spacing w:after="160"/>
      </w:pPr>
      <w:r>
        <w:t xml:space="preserve">The total score maps to a tier (A / B / C) using configurable thresholds, and Sector Taxonomy defines the exact list of sector/sub-sector values the classification AI is allowed to choose from.</w:t>
      </w:r>
    </w:p>
    <w:p>
      <w:pPr>
        <w:pStyle w:val="Heading2"/>
        <w:spacing w:after="150" w:before="300"/>
      </w:pPr>
      <w:r>
        <w:t xml:space="preserve">4.2 Account Health model</w:t>
      </w:r>
    </w:p>
    <w:p>
      <w:pPr>
        <w:spacing w:after="160"/>
      </w:pPr>
      <w:r>
        <w:t xml:space="preserve">Applies only inside the Accounts module, for companies Lignum already works with. It is calculated entirely client-side in the app and has no connection to ICP Fit or the n8n pipeline.</w:t>
      </w:r>
    </w:p>
    <w:p>
      <w:pPr>
        <w:spacing w:after="160"/>
      </w:pPr>
      <w:r>
        <w:rPr>
          <w:b/>
          <w:bCs/>
        </w:rPr>
        <w:t xml:space="preserve">Three weighted components combine into the Account Health score (must add up to 100%):</w:t>
      </w:r>
    </w:p>
    <w:p>
      <w:pPr>
        <w:pStyle w:val="ListParagraph"/>
        <w:numPr>
          <w:ilvl w:val="0"/>
          <w:numId w:val="2"/>
        </w:numPr>
        <w:spacing w:after="80"/>
      </w:pPr>
      <w:r>
        <w:t xml:space="preserve">Client scorecard — five manually-rated dimensions (relationship strength, delivery satisfaction, growth potential, payment reliability, strategic fit), each independently weighted (those five weights must also add up to 100%).</w:t>
      </w:r>
    </w:p>
    <w:p>
      <w:pPr>
        <w:pStyle w:val="ListParagraph"/>
        <w:numPr>
          <w:ilvl w:val="0"/>
          <w:numId w:val="2"/>
        </w:numPr>
        <w:spacing w:after="80"/>
      </w:pPr>
      <w:r>
        <w:t xml:space="preserve">Talent insights — headcount change, attrition, and average tenure, each mapped through its own configurable band table, then averaged together.</w:t>
      </w:r>
    </w:p>
    <w:p>
      <w:pPr>
        <w:pStyle w:val="ListParagraph"/>
        <w:numPr>
          <w:ilvl w:val="0"/>
          <w:numId w:val="2"/>
        </w:numPr>
        <w:spacing w:after="80"/>
      </w:pPr>
      <w:r>
        <w:t xml:space="preserve">Adverse events — reserved for a future data source; currently always contributes 0, since there's no adverse-event feed connected yet.</w:t>
      </w:r>
    </w:p>
    <w:p>
      <w:pPr>
        <w:pStyle w:val="Heading2"/>
        <w:spacing w:after="150" w:before="300"/>
      </w:pPr>
      <w:r>
        <w:t xml:space="preserve">4.3 Data sourcing policy</w:t>
      </w:r>
    </w:p>
    <w:p>
      <w:pPr>
        <w:spacing w:after="160"/>
      </w:pPr>
      <w:r>
        <w:t xml:space="preserve">This was a deliberate change made partway through the build, worth understanding:</w:t>
      </w:r>
    </w:p>
    <w:p>
      <w:pPr>
        <w:pStyle w:val="ListParagraph"/>
        <w:numPr>
          <w:ilvl w:val="0"/>
          <w:numId w:val="2"/>
        </w:numPr>
        <w:spacing w:after="80"/>
      </w:pPr>
      <w:r>
        <w:t xml:space="preserve">Revenue, Headcount, and Hiring Activity are sourced from Cognism by default. If Cognism has no value for a specific company, Creditsafe is used as a fallback — and the UI tags that value as “Creditsafe fallback” wherever it's shown, so it's always clear which provider actually supplied it.</w:t>
      </w:r>
    </w:p>
    <w:p>
      <w:pPr>
        <w:pStyle w:val="ListParagraph"/>
        <w:numPr>
          <w:ilvl w:val="0"/>
          <w:numId w:val="2"/>
        </w:numPr>
        <w:spacing w:after="80"/>
      </w:pPr>
      <w:r>
        <w:t xml:space="preserve">Credit Risk Score and Credit Limit are sourced from Creditsafe's “Company Recommendation” data. Credit Limit is a reference figure for the BD team only — it never factors into any score.</w:t>
      </w:r>
    </w:p>
    <w:p>
      <w:pPr>
        <w:spacing w:after="120"/>
      </w:pPr>
    </w:p>
    <w:p>
      <w:pPr>
        <w:pStyle w:val="Heading1"/>
        <w:spacing w:after="200" w:before="400"/>
      </w:pPr>
      <w:r>
        <w:t xml:space="preserve">5. n8n Workflow Reference</w:t>
      </w:r>
    </w:p>
    <w:p>
      <w:pPr>
        <w:spacing w:after="160"/>
      </w:pPr>
      <w:r>
        <w:t xml:space="preserve">The entire enrichment/scoring pipeline lives in a single n8n workflow named “ICP - Import, Enrich, Classify, Score.” It is organised into the following stages (matching the colour-coded sections inside the workflow itself):</w:t>
      </w:r>
    </w:p>
    <w:tbl>
      <w:tblPr>
        <w:tblW w:type="pct" w:w="100%"/>
        <w:tblBorders>
          <w:top w:val="single" w:color="D1D5DB" w:sz="4"/>
          <w:left w:val="single" w:color="D1D5DB" w:sz="4"/>
          <w:bottom w:val="single" w:color="D1D5DB" w:sz="4"/>
          <w:right w:val="single" w:color="D1D5DB" w:sz="4"/>
          <w:insideH w:val="single" w:color="E5E7EB" w:sz="4"/>
          <w:insideV w:val="single" w:color="E5E7EB" w:sz="4"/>
        </w:tblBorders>
      </w:tblPr>
      <w:tblGrid>
        <w:gridCol w:w="3200"/>
        <w:gridCol w:w="6600"/>
      </w:tblGrid>
      <w:tr>
        <w:trPr>
          <w:tblHeader/>
        </w:trPr>
        <w:tc>
          <w:tcPr>
            <w:tcW w:type="dxa" w:w="3200"/>
            <w:shd w:fill="2E5339" w:val="clear"/>
            <w:tcMar>
              <w:top w:type="dxa" w:w="100"/>
              <w:left w:type="dxa" w:w="120"/>
              <w:bottom w:type="dxa" w:w="100"/>
              <w:right w:type="dxa" w:w="120"/>
            </w:tcMar>
          </w:tcPr>
          <w:p>
            <w:r>
              <w:rPr>
                <w:b/>
                <w:bCs/>
                <w:color w:val="FFFFFF"/>
              </w:rPr>
              <w:t xml:space="preserve">Stage</w:t>
            </w:r>
          </w:p>
        </w:tc>
        <w:tc>
          <w:tcPr>
            <w:tcW w:type="dxa" w:w="6600"/>
            <w:shd w:fill="2E5339" w:val="clear"/>
            <w:tcMar>
              <w:top w:type="dxa" w:w="100"/>
              <w:left w:type="dxa" w:w="120"/>
              <w:bottom w:type="dxa" w:w="100"/>
              <w:right w:type="dxa" w:w="120"/>
            </w:tcMar>
          </w:tcPr>
          <w:p>
            <w:r>
              <w:rPr>
                <w:b/>
                <w:bCs/>
                <w:color w:val="FFFFFF"/>
              </w:rPr>
              <w:t xml:space="preserve">What it does</w:t>
            </w:r>
          </w:p>
        </w:tc>
      </w:tr>
      <w:tr>
        <w:tc>
          <w:tcPr>
            <w:tcW w:type="dxa" w:w="3200"/>
            <w:tcMar>
              <w:top w:type="dxa" w:w="100"/>
              <w:left w:type="dxa" w:w="120"/>
              <w:bottom w:type="dxa" w:w="100"/>
              <w:right w:type="dxa" w:w="120"/>
            </w:tcMar>
          </w:tcPr>
          <w:p>
            <w:r>
              <w:rPr>
                <w:b/>
                <w:bCs/>
              </w:rPr>
              <w:t xml:space="preserve">Trigger &amp; CSV Import</w:t>
            </w:r>
          </w:p>
        </w:tc>
        <w:tc>
          <w:tcPr>
            <w:tcW w:type="dxa" w:w="6600"/>
            <w:tcMar>
              <w:top w:type="dxa" w:w="100"/>
              <w:left w:type="dxa" w:w="120"/>
              <w:bottom w:type="dxa" w:w="100"/>
              <w:right w:type="dxa" w:w="120"/>
            </w:tcMar>
          </w:tcPr>
          <w:p>
            <w:r>
              <w:rPr>
                <w:b w:val="false"/>
                <w:bCs w:val="false"/>
              </w:rPr>
              <w:t xml:space="preserve">Receives the uploaded spreadsheet and starts one pipeline run per company.</w:t>
            </w:r>
          </w:p>
        </w:tc>
      </w:tr>
      <w:tr>
        <w:tc>
          <w:tcPr>
            <w:tcW w:type="dxa" w:w="3200"/>
            <w:tcMar>
              <w:top w:type="dxa" w:w="100"/>
              <w:left w:type="dxa" w:w="120"/>
              <w:bottom w:type="dxa" w:w="100"/>
              <w:right w:type="dxa" w:w="120"/>
            </w:tcMar>
          </w:tcPr>
          <w:p>
            <w:r>
              <w:rPr>
                <w:b/>
                <w:bCs/>
              </w:rPr>
              <w:t xml:space="preserve">Company Loop &amp; Re-Pull Gate</w:t>
            </w:r>
          </w:p>
        </w:tc>
        <w:tc>
          <w:tcPr>
            <w:tcW w:type="dxa" w:w="6600"/>
            <w:tcMar>
              <w:top w:type="dxa" w:w="100"/>
              <w:left w:type="dxa" w:w="120"/>
              <w:bottom w:type="dxa" w:w="100"/>
              <w:right w:type="dxa" w:w="120"/>
            </w:tcMar>
          </w:tcPr>
          <w:p>
            <w:r>
              <w:rPr>
                <w:b w:val="false"/>
                <w:bCs w:val="false"/>
              </w:rPr>
              <w:t xml:space="preserve">Skips any company enriched too recently, to avoid wasted spend.</w:t>
            </w:r>
          </w:p>
        </w:tc>
      </w:tr>
      <w:tr>
        <w:tc>
          <w:tcPr>
            <w:tcW w:type="dxa" w:w="3200"/>
            <w:tcMar>
              <w:top w:type="dxa" w:w="100"/>
              <w:left w:type="dxa" w:w="120"/>
              <w:bottom w:type="dxa" w:w="100"/>
              <w:right w:type="dxa" w:w="120"/>
            </w:tcMar>
          </w:tcPr>
          <w:p>
            <w:r>
              <w:rPr>
                <w:b/>
                <w:bCs/>
              </w:rPr>
              <w:t xml:space="preserve">Free Enrichment &amp; Cost Gate</w:t>
            </w:r>
          </w:p>
        </w:tc>
        <w:tc>
          <w:tcPr>
            <w:tcW w:type="dxa" w:w="6600"/>
            <w:tcMar>
              <w:top w:type="dxa" w:w="100"/>
              <w:left w:type="dxa" w:w="120"/>
              <w:bottom w:type="dxa" w:w="100"/>
              <w:right w:type="dxa" w:w="120"/>
            </w:tcMar>
          </w:tcPr>
          <w:p>
            <w:r>
              <w:rPr>
                <w:b w:val="false"/>
                <w:bCs w:val="false"/>
              </w:rPr>
              <w:t xml:space="preserve">A free Cognism check confirms there's enough data before paid calls are made.</w:t>
            </w:r>
          </w:p>
        </w:tc>
      </w:tr>
      <w:tr>
        <w:tc>
          <w:tcPr>
            <w:tcW w:type="dxa" w:w="3200"/>
            <w:tcMar>
              <w:top w:type="dxa" w:w="100"/>
              <w:left w:type="dxa" w:w="120"/>
              <w:bottom w:type="dxa" w:w="100"/>
              <w:right w:type="dxa" w:w="120"/>
            </w:tcMar>
          </w:tcPr>
          <w:p>
            <w:r>
              <w:rPr>
                <w:b/>
                <w:bCs/>
              </w:rPr>
              <w:t xml:space="preserve">Entity Matching Engine</w:t>
            </w:r>
          </w:p>
        </w:tc>
        <w:tc>
          <w:tcPr>
            <w:tcW w:type="dxa" w:w="6600"/>
            <w:tcMar>
              <w:top w:type="dxa" w:w="100"/>
              <w:left w:type="dxa" w:w="120"/>
              <w:bottom w:type="dxa" w:w="100"/>
              <w:right w:type="dxa" w:w="120"/>
            </w:tcMar>
          </w:tcPr>
          <w:p>
            <w:r>
              <w:rPr>
                <w:b w:val="false"/>
                <w:bCs w:val="false"/>
              </w:rPr>
              <w:t xml:space="preserve">Automatically matches the company against Cognism and Creditsafe records, LLM-scored.</w:t>
            </w:r>
          </w:p>
        </w:tc>
      </w:tr>
      <w:tr>
        <w:tc>
          <w:tcPr>
            <w:tcW w:type="dxa" w:w="3200"/>
            <w:tcMar>
              <w:top w:type="dxa" w:w="100"/>
              <w:left w:type="dxa" w:w="120"/>
              <w:bottom w:type="dxa" w:w="100"/>
              <w:right w:type="dxa" w:w="120"/>
            </w:tcMar>
          </w:tcPr>
          <w:p>
            <w:r>
              <w:rPr>
                <w:b/>
                <w:bCs/>
              </w:rPr>
              <w:t xml:space="preserve">Entity Resolution</w:t>
            </w:r>
          </w:p>
        </w:tc>
        <w:tc>
          <w:tcPr>
            <w:tcW w:type="dxa" w:w="6600"/>
            <w:tcMar>
              <w:top w:type="dxa" w:w="100"/>
              <w:left w:type="dxa" w:w="120"/>
              <w:bottom w:type="dxa" w:w="100"/>
              <w:right w:type="dxa" w:w="120"/>
            </w:tcMar>
          </w:tcPr>
          <w:p>
            <w:r>
              <w:rPr>
                <w:b w:val="false"/>
                <w:bCs w:val="false"/>
              </w:rPr>
              <w:t xml:space="preserve">Manual fallback — handles the “Confirm which company this is” action from Triage.</w:t>
            </w:r>
          </w:p>
        </w:tc>
      </w:tr>
      <w:tr>
        <w:tc>
          <w:tcPr>
            <w:tcW w:type="dxa" w:w="3200"/>
            <w:tcMar>
              <w:top w:type="dxa" w:w="100"/>
              <w:left w:type="dxa" w:w="120"/>
              <w:bottom w:type="dxa" w:w="100"/>
              <w:right w:type="dxa" w:w="120"/>
            </w:tcMar>
          </w:tcPr>
          <w:p>
            <w:r>
              <w:rPr>
                <w:b/>
                <w:bCs/>
              </w:rPr>
              <w:t xml:space="preserve">Paid Enrichment</w:t>
            </w:r>
          </w:p>
        </w:tc>
        <w:tc>
          <w:tcPr>
            <w:tcW w:type="dxa" w:w="6600"/>
            <w:tcMar>
              <w:top w:type="dxa" w:w="100"/>
              <w:left w:type="dxa" w:w="120"/>
              <w:bottom w:type="dxa" w:w="100"/>
              <w:right w:type="dxa" w:w="120"/>
            </w:tcMar>
          </w:tcPr>
          <w:p>
            <w:r>
              <w:rPr>
                <w:b w:val="false"/>
                <w:bCs w:val="false"/>
              </w:rPr>
              <w:t xml:space="preserve">Pulls the full Creditsafe credit report and Cognism account record.</w:t>
            </w:r>
          </w:p>
        </w:tc>
      </w:tr>
      <w:tr>
        <w:tc>
          <w:tcPr>
            <w:tcW w:type="dxa" w:w="3200"/>
            <w:tcMar>
              <w:top w:type="dxa" w:w="100"/>
              <w:left w:type="dxa" w:w="120"/>
              <w:bottom w:type="dxa" w:w="100"/>
              <w:right w:type="dxa" w:w="120"/>
            </w:tcMar>
          </w:tcPr>
          <w:p>
            <w:r>
              <w:rPr>
                <w:b/>
                <w:bCs/>
              </w:rPr>
              <w:t xml:space="preserve">Scraping Engine</w:t>
            </w:r>
          </w:p>
        </w:tc>
        <w:tc>
          <w:tcPr>
            <w:tcW w:type="dxa" w:w="6600"/>
            <w:tcMar>
              <w:top w:type="dxa" w:w="100"/>
              <w:left w:type="dxa" w:w="120"/>
              <w:bottom w:type="dxa" w:w="100"/>
              <w:right w:type="dxa" w:w="120"/>
            </w:tcMar>
          </w:tcPr>
          <w:p>
            <w:r>
              <w:rPr>
                <w:b w:val="false"/>
                <w:bCs w:val="false"/>
              </w:rPr>
              <w:t xml:space="preserve">Reads the company's own website, with an AI-reader fallback.</w:t>
            </w:r>
          </w:p>
        </w:tc>
      </w:tr>
      <w:tr>
        <w:tc>
          <w:tcPr>
            <w:tcW w:type="dxa" w:w="3200"/>
            <w:tcMar>
              <w:top w:type="dxa" w:w="100"/>
              <w:left w:type="dxa" w:w="120"/>
              <w:bottom w:type="dxa" w:w="100"/>
              <w:right w:type="dxa" w:w="120"/>
            </w:tcMar>
          </w:tcPr>
          <w:p>
            <w:r>
              <w:rPr>
                <w:b/>
                <w:bCs/>
              </w:rPr>
              <w:t xml:space="preserve">Classification Engine</w:t>
            </w:r>
          </w:p>
        </w:tc>
        <w:tc>
          <w:tcPr>
            <w:tcW w:type="dxa" w:w="6600"/>
            <w:tcMar>
              <w:top w:type="dxa" w:w="100"/>
              <w:left w:type="dxa" w:w="120"/>
              <w:bottom w:type="dxa" w:w="100"/>
              <w:right w:type="dxa" w:w="120"/>
            </w:tcMar>
          </w:tcPr>
          <w:p>
            <w:r>
              <w:rPr>
                <w:b w:val="false"/>
                <w:bCs w:val="false"/>
              </w:rPr>
              <w:t xml:space="preserve">LLM assigns a sector/sub-sector from the active taxonomy.</w:t>
            </w:r>
          </w:p>
        </w:tc>
      </w:tr>
      <w:tr>
        <w:tc>
          <w:tcPr>
            <w:tcW w:type="dxa" w:w="3200"/>
            <w:tcMar>
              <w:top w:type="dxa" w:w="100"/>
              <w:left w:type="dxa" w:w="120"/>
              <w:bottom w:type="dxa" w:w="100"/>
              <w:right w:type="dxa" w:w="120"/>
            </w:tcMar>
          </w:tcPr>
          <w:p>
            <w:r>
              <w:rPr>
                <w:b/>
                <w:bCs/>
              </w:rPr>
              <w:t xml:space="preserve">Scoring Engine (import path)</w:t>
            </w:r>
          </w:p>
        </w:tc>
        <w:tc>
          <w:tcPr>
            <w:tcW w:type="dxa" w:w="6600"/>
            <w:tcMar>
              <w:top w:type="dxa" w:w="100"/>
              <w:left w:type="dxa" w:w="120"/>
              <w:bottom w:type="dxa" w:w="100"/>
              <w:right w:type="dxa" w:w="120"/>
            </w:tcMar>
          </w:tcPr>
          <w:p>
            <w:r>
              <w:rPr>
                <w:b w:val="false"/>
                <w:bCs w:val="false"/>
              </w:rPr>
              <w:t xml:space="preserve">Calculates the ICP Fit score using the chosen profile's current settings.</w:t>
            </w:r>
          </w:p>
        </w:tc>
      </w:tr>
      <w:tr>
        <w:tc>
          <w:tcPr>
            <w:tcW w:type="dxa" w:w="3200"/>
            <w:tcMar>
              <w:top w:type="dxa" w:w="100"/>
              <w:left w:type="dxa" w:w="120"/>
              <w:bottom w:type="dxa" w:w="100"/>
              <w:right w:type="dxa" w:w="120"/>
            </w:tcMar>
          </w:tcPr>
          <w:p>
            <w:r>
              <w:rPr>
                <w:b/>
                <w:bCs/>
              </w:rPr>
              <w:t xml:space="preserve">Scoring Engine (rescore path)</w:t>
            </w:r>
          </w:p>
        </w:tc>
        <w:tc>
          <w:tcPr>
            <w:tcW w:type="dxa" w:w="6600"/>
            <w:tcMar>
              <w:top w:type="dxa" w:w="100"/>
              <w:left w:type="dxa" w:w="120"/>
              <w:bottom w:type="dxa" w:w="100"/>
              <w:right w:type="dxa" w:w="120"/>
            </w:tcMar>
          </w:tcPr>
          <w:p>
            <w:r>
              <w:rPr>
                <w:b w:val="false"/>
                <w:bCs w:val="false"/>
              </w:rPr>
              <w:t xml:space="preserve">Re-runs scoring only, triggered when Triage changes a company's classification — does not repeat paid enrichment.</w:t>
            </w:r>
          </w:p>
        </w:tc>
      </w:tr>
    </w:tbl>
    <w:p>
      <w:pPr>
        <w:spacing w:after="120"/>
      </w:pPr>
    </w:p>
    <w:p>
      <w:pPr>
        <w:spacing w:after="160"/>
      </w:pPr>
      <w:r>
        <w:t xml:space="preserve">Every scoring run reads the live ‘icp_profiles’ and ‘model_settings’ tables from Supabase at execution time — so any change made on the Model Config page in the app takes effect on the very next score or re-score, with no need to edit or redeploy the n8n workflow itself.</w:t>
      </w:r>
    </w:p>
    <w:p>
      <w:pPr>
        <w:spacing w:after="160"/>
      </w:pPr>
      <w:r>
        <w:t xml:space="preserve">n8n instance URL: [insert n8n Cloud workspace URL here]. Workflow name: “ICP - Import, Enrich, Classify, Score.”</w:t>
      </w:r>
    </w:p>
    <w:p>
      <w:pPr>
        <w:spacing w:after="120"/>
      </w:pPr>
    </w:p>
    <w:p>
      <w:pPr>
        <w:pStyle w:val="Heading1"/>
        <w:spacing w:after="200" w:before="400"/>
      </w:pPr>
      <w:r>
        <w:t xml:space="preserve">6. Admin Configuration Guide</w:t>
      </w:r>
    </w:p>
    <w:p>
      <w:pPr>
        <w:spacing w:after="160"/>
      </w:pPr>
      <w:r>
        <w:t xml:space="preserve">All of the following is done from Admin → Model config in the app — no code or n8n changes are ever needed for routine tuning.</w:t>
      </w:r>
    </w:p>
    <w:p>
      <w:pPr>
        <w:pStyle w:val="Heading2"/>
        <w:spacing w:after="150" w:before="300"/>
      </w:pPr>
      <w:r>
        <w:t xml:space="preserve">6.1 Editing an ICP profile</w:t>
      </w:r>
    </w:p>
    <w:p>
      <w:pPr>
        <w:pStyle w:val="ListParagraph"/>
        <w:numPr>
          <w:ilvl w:val="0"/>
          <w:numId w:val="3"/>
        </w:numPr>
        <w:spacing w:after="80"/>
      </w:pPr>
      <w:r>
        <w:t xml:space="preserve">Open Admin → Model config.</w:t>
      </w:r>
    </w:p>
    <w:p>
      <w:pPr>
        <w:pStyle w:val="ListParagraph"/>
        <w:numPr>
          <w:ilvl w:val="0"/>
          <w:numId w:val="3"/>
        </w:numPr>
        <w:spacing w:after="80"/>
      </w:pPr>
      <w:r>
        <w:t xml:space="preserve">In the ICP Fit zone, select the profile to edit from the profile tiles (or click “+ New ICP profile” to create one).</w:t>
      </w:r>
    </w:p>
    <w:p>
      <w:pPr>
        <w:pStyle w:val="ListParagraph"/>
        <w:numPr>
          <w:ilvl w:val="0"/>
          <w:numId w:val="3"/>
        </w:numPr>
        <w:spacing w:after="80"/>
      </w:pPr>
      <w:r>
        <w:t xml:space="preserve">Adjust the five category weight sliders — the total must read 100/100 before it can be saved.</w:t>
      </w:r>
    </w:p>
    <w:p>
      <w:pPr>
        <w:pStyle w:val="ListParagraph"/>
        <w:numPr>
          <w:ilvl w:val="0"/>
          <w:numId w:val="3"/>
        </w:numPr>
        <w:spacing w:after="80"/>
      </w:pPr>
      <w:r>
        <w:t xml:space="preserve">Edit the Revenue, Headcount, Hiring &amp; Growth, and Credit Risk band tables by adding, editing, or removing rows (each row maps a value range to a 0–100 sub-score).</w:t>
      </w:r>
    </w:p>
    <w:p>
      <w:pPr>
        <w:pStyle w:val="ListParagraph"/>
        <w:numPr>
          <w:ilvl w:val="0"/>
          <w:numId w:val="3"/>
        </w:numPr>
        <w:spacing w:after="80"/>
      </w:pPr>
      <w:r>
        <w:t xml:space="preserve">Add, edit, or remove Fit Rules, and mark each as a hard requirement or a soft signal using the toggle.</w:t>
      </w:r>
    </w:p>
    <w:p>
      <w:pPr>
        <w:pStyle w:val="ListParagraph"/>
        <w:numPr>
          <w:ilvl w:val="0"/>
          <w:numId w:val="3"/>
        </w:numPr>
        <w:spacing w:after="80"/>
      </w:pPr>
      <w:r>
        <w:t xml:space="preserve">Click “Save [profile name]” at the bottom of the card.</w:t>
      </w:r>
    </w:p>
    <w:p>
      <w:pPr>
        <w:pStyle w:val="Heading2"/>
        <w:spacing w:after="150" w:before="300"/>
      </w:pPr>
      <w:r>
        <w:t xml:space="preserve">6.2 Managing sector taxonomy</w:t>
      </w:r>
    </w:p>
    <w:p>
      <w:pPr>
        <w:spacing w:after="160"/>
      </w:pPr>
      <w:r>
        <w:t xml:space="preserve">Under Sector Taxonomy, toggle any sub-sector Active/Inactive — only active sub-sectors are offered to the classification AI.</w:t>
      </w:r>
    </w:p>
    <w:p>
      <w:pPr>
        <w:pStyle w:val="Heading2"/>
        <w:spacing w:after="150" w:before="300"/>
      </w:pPr>
      <w:r>
        <w:t xml:space="preserve">6.3 Shared ICP settings</w:t>
      </w:r>
    </w:p>
    <w:p>
      <w:pPr>
        <w:pStyle w:val="ListParagraph"/>
        <w:numPr>
          <w:ilvl w:val="0"/>
          <w:numId w:val="2"/>
        </w:numPr>
        <w:spacing w:after="80"/>
      </w:pPr>
      <w:r>
        <w:t xml:space="preserve">Tier thresholds — the score cutoffs for Tier A and Tier B (Tier C is everything below).</w:t>
      </w:r>
    </w:p>
    <w:p>
      <w:pPr>
        <w:pStyle w:val="ListParagraph"/>
        <w:numPr>
          <w:ilvl w:val="0"/>
          <w:numId w:val="2"/>
        </w:numPr>
        <w:spacing w:after="80"/>
      </w:pPr>
      <w:r>
        <w:t xml:space="preserve">Fit rule penalties — how many points a violated hard requirement vs. soft signal subtracts from ICP Fit.</w:t>
      </w:r>
    </w:p>
    <w:p>
      <w:pPr>
        <w:pStyle w:val="ListParagraph"/>
        <w:numPr>
          <w:ilvl w:val="0"/>
          <w:numId w:val="2"/>
        </w:numPr>
        <w:spacing w:after="80"/>
      </w:pPr>
      <w:r>
        <w:t xml:space="preserve">Enrichment run settings — the indicative price per credit, used only to estimate cost before a run.</w:t>
      </w:r>
    </w:p>
    <w:p>
      <w:pPr>
        <w:pStyle w:val="ListParagraph"/>
        <w:numPr>
          <w:ilvl w:val="0"/>
          <w:numId w:val="2"/>
        </w:numPr>
        <w:spacing w:after="80"/>
      </w:pPr>
      <w:r>
        <w:t xml:space="preserve">Automatic re-pull — toggle nightly re-enrichment on/off, and set how many days old data must be before it qualifies.</w:t>
      </w:r>
    </w:p>
    <w:p>
      <w:pPr>
        <w:pStyle w:val="Heading2"/>
        <w:spacing w:after="150" w:before="300"/>
      </w:pPr>
      <w:r>
        <w:t xml:space="preserve">6.4 Editing the Account Health model</w:t>
      </w:r>
    </w:p>
    <w:p>
      <w:pPr>
        <w:spacing w:after="160"/>
      </w:pPr>
      <w:r>
        <w:t xml:space="preserve">In the Global zone of the same page: adjust the Account Health weights (Client scorecard / Talent insights / Adverse events), the Client scorecard weights (the five rating dimensions), and the three Talent Insights band tables (headcount change, attrition, average tenure). Each weight group must total 100 before saving.</w:t>
      </w:r>
    </w:p>
    <w:p>
      <w:pPr>
        <w:pStyle w:val="Heading2"/>
        <w:spacing w:after="150" w:before="300"/>
      </w:pPr>
      <w:r>
        <w:t xml:space="preserve">6.5 Managing user access</w:t>
      </w:r>
    </w:p>
    <w:p>
      <w:pPr>
        <w:spacing w:after="160"/>
      </w:pPr>
      <w:r>
        <w:t xml:space="preserve">Under Admin → Users, add a new team member's email and choose their role. Admin users can reach every page in the app, including Model Config; regular users cannot.</w:t>
      </w:r>
    </w:p>
    <w:p>
      <w:pPr>
        <w:spacing w:after="120"/>
      </w:pPr>
    </w:p>
    <w:p>
      <w:pPr>
        <w:pStyle w:val="Heading1"/>
        <w:spacing w:after="200" w:before="400"/>
      </w:pPr>
      <w:r>
        <w:t xml:space="preserve">7. Credentials &amp; Access</w:t>
      </w:r>
    </w:p>
    <w:p>
      <w:pPr>
        <w:pStyle w:val="Heading2"/>
        <w:spacing w:after="150" w:before="300"/>
      </w:pPr>
      <w:r>
        <w:t xml:space="preserve">7.1 Signing in to the app</w:t>
      </w:r>
    </w:p>
    <w:p>
      <w:pPr>
        <w:spacing w:after="160"/>
      </w:pPr>
      <w:r>
        <w:t xml:space="preserve">The app uses email + password sign-in. An existing admin adds new users from Admin → Users — there is no self-service sign-up.</w:t>
      </w:r>
    </w:p>
    <w:p>
      <w:pPr>
        <w:pStyle w:val="Heading2"/>
        <w:spacing w:after="150" w:before="300"/>
      </w:pPr>
      <w:r>
        <w:t xml:space="preserve">7.2 n8n</w:t>
      </w:r>
    </w:p>
    <w:p>
      <w:pPr>
        <w:spacing w:after="160"/>
      </w:pPr>
      <w:r>
        <w:t xml:space="preserve">n8n instance: [insert URL / login owner here].</w:t>
      </w:r>
    </w:p>
    <w:p>
      <w:pPr>
        <w:pStyle w:val="Heading2"/>
        <w:spacing w:after="150" w:before="300"/>
      </w:pPr>
      <w:r>
        <w:t xml:space="preserve">7.3 Supabase</w:t>
      </w:r>
    </w:p>
    <w:p>
      <w:pPr>
        <w:spacing w:after="160"/>
      </w:pPr>
      <w:r>
        <w:t xml:space="preserve">Supabase project: [insert project URL / owner here]. Day-to-day user management should go through the app's own Users page (Section 6.5) rather than Supabase directly.</w:t>
      </w:r>
    </w:p>
    <w:p>
      <w:pPr>
        <w:pStyle w:val="Heading2"/>
        <w:spacing w:after="150" w:before="300"/>
      </w:pPr>
      <w:r>
        <w:t xml:space="preserve">7.4 Third-party API credentials</w:t>
      </w:r>
    </w:p>
    <w:p>
      <w:pPr>
        <w:spacing w:after="160"/>
      </w:pPr>
      <w:r>
        <w:t xml:space="preserve">The Cognism, Creditsafe, OpenAI, and Jina AI credentials used inside n8n are handed over separately, in a file named ‘CREDENTIALS_HANDOFF.txt’, sent through a secure channel rather than included in this document. That file lists each secret's value, exactly what to name it as an n8n credential (or environment variable), and the exact steps to wire it into the workflow. Once those credentials are created in n8n, that file should be deleted rather than kept on disk.</w:t>
      </w:r>
    </w:p>
    <w:p>
      <w:pPr>
        <w:spacing w:after="120"/>
      </w:pPr>
    </w:p>
    <w:p>
      <w:pPr>
        <w:pStyle w:val="Heading1"/>
        <w:spacing w:after="200" w:before="400"/>
      </w:pPr>
      <w:r>
        <w:t xml:space="preserve">8. Known Limitations &amp; Follow-ups</w:t>
      </w:r>
    </w:p>
    <w:p>
      <w:pPr>
        <w:pStyle w:val="ListParagraph"/>
        <w:numPr>
          <w:ilvl w:val="0"/>
          <w:numId w:val="2"/>
        </w:numPr>
        <w:spacing w:after="80"/>
      </w:pPr>
      <w:r>
        <w:t xml:space="preserve">Creditsafe company search is currently hardcoded to US-registered companies in the entity-matching step. If target companies outside the US need to be scored, this will need revisiting.</w:t>
      </w:r>
    </w:p>
    <w:p>
      <w:pPr>
        <w:pStyle w:val="ListParagraph"/>
        <w:numPr>
          <w:ilvl w:val="0"/>
          <w:numId w:val="2"/>
        </w:numPr>
        <w:spacing w:after="80"/>
      </w:pPr>
      <w:r>
        <w:t xml:space="preserve">Two fields visible in Creditsafe's own dashboard — “Contract Limit” and “International Score” — could not be confidently matched to a field in the API data seen so far, and were deliberately left unimplemented rather than guessed at. Worth revisiting if a sample API response containing them becomes available.</w:t>
      </w:r>
    </w:p>
    <w:p>
      <w:pPr>
        <w:pStyle w:val="ListParagraph"/>
        <w:numPr>
          <w:ilvl w:val="0"/>
          <w:numId w:val="2"/>
        </w:numPr>
        <w:spacing w:after="80"/>
      </w:pPr>
      <w:r>
        <w:t xml:space="preserve">A few settings fields exist in the database with no UI yet, kept only so existing data round-trips safely: an on-demand contact-pull toggle, GBP/EUR-to-USD conversion rates (the Accounts module instead uses a live daily exchange-rate feed for currency conversion, not these), and a review-reminder interval. None of these currently affect any score or workflow.</w:t>
      </w:r>
    </w:p>
    <w:p>
      <w:pPr>
        <w:pStyle w:val="ListParagraph"/>
        <w:numPr>
          <w:ilvl w:val="0"/>
          <w:numId w:val="2"/>
        </w:numPr>
        <w:spacing w:after="80"/>
      </w:pPr>
      <w:r>
        <w:t xml:space="preserve">Creditsafe doesn't return its “Company Recommendation” data (the source of Credit Risk Score and Credit Limit) for every company. When it's missing, Credit Risk is simply excluded from that company's score and the remaining categories are reweighted — expected behaviour, but worth keeping an eye on across a larger batch of companies.</w:t>
      </w:r>
    </w:p>
    <w:p>
      <w:pPr>
        <w:spacing w:after="120"/>
      </w:pPr>
    </w:p>
    <w:p>
      <w:pPr>
        <w:pStyle w:val="Heading1"/>
        <w:spacing w:after="200" w:before="400"/>
      </w:pPr>
      <w:r>
        <w:t xml:space="preserve">9. Maintenance Notes</w:t>
      </w:r>
    </w:p>
    <w:p>
      <w:pPr>
        <w:spacing w:after="160"/>
      </w:pPr>
      <w:r>
        <w:t xml:space="preserve">A small number of database migrations were written during the build and need to be run once each, in Supabase's SQL editor, in the order below. They live in ‘docs/migrations/’ in the project's Git repository.</w:t>
      </w:r>
    </w:p>
    <w:tbl>
      <w:tblPr>
        <w:tblW w:type="pct" w:w="100%"/>
        <w:tblBorders>
          <w:top w:val="single" w:color="D1D5DB" w:sz="4"/>
          <w:left w:val="single" w:color="D1D5DB" w:sz="4"/>
          <w:bottom w:val="single" w:color="D1D5DB" w:sz="4"/>
          <w:right w:val="single" w:color="D1D5DB" w:sz="4"/>
          <w:insideH w:val="single" w:color="E5E7EB" w:sz="4"/>
          <w:insideV w:val="single" w:color="E5E7EB" w:sz="4"/>
        </w:tblBorders>
      </w:tblPr>
      <w:tblGrid>
        <w:gridCol w:w="3200"/>
        <w:gridCol w:w="6600"/>
      </w:tblGrid>
      <w:tr>
        <w:trPr>
          <w:tblHeader/>
        </w:trPr>
        <w:tc>
          <w:tcPr>
            <w:tcW w:type="dxa" w:w="3200"/>
            <w:shd w:fill="2E5339" w:val="clear"/>
            <w:tcMar>
              <w:top w:type="dxa" w:w="100"/>
              <w:left w:type="dxa" w:w="120"/>
              <w:bottom w:type="dxa" w:w="100"/>
              <w:right w:type="dxa" w:w="120"/>
            </w:tcMar>
          </w:tcPr>
          <w:p>
            <w:r>
              <w:rPr>
                <w:b/>
                <w:bCs/>
                <w:color w:val="FFFFFF"/>
              </w:rPr>
              <w:t xml:space="preserve">Migration file</w:t>
            </w:r>
          </w:p>
        </w:tc>
        <w:tc>
          <w:tcPr>
            <w:tcW w:type="dxa" w:w="6600"/>
            <w:shd w:fill="2E5339" w:val="clear"/>
            <w:tcMar>
              <w:top w:type="dxa" w:w="100"/>
              <w:left w:type="dxa" w:w="120"/>
              <w:bottom w:type="dxa" w:w="100"/>
              <w:right w:type="dxa" w:w="120"/>
            </w:tcMar>
          </w:tcPr>
          <w:p>
            <w:r>
              <w:rPr>
                <w:b/>
                <w:bCs/>
                <w:color w:val="FFFFFF"/>
              </w:rPr>
              <w:t xml:space="preserve">What it adds</w:t>
            </w:r>
          </w:p>
        </w:tc>
      </w:tr>
      <w:tr>
        <w:tc>
          <w:tcPr>
            <w:tcW w:type="dxa" w:w="3200"/>
            <w:tcMar>
              <w:top w:type="dxa" w:w="100"/>
              <w:left w:type="dxa" w:w="120"/>
              <w:bottom w:type="dxa" w:w="100"/>
              <w:right w:type="dxa" w:w="120"/>
            </w:tcMar>
          </w:tcPr>
          <w:p>
            <w:r>
              <w:rPr>
                <w:b/>
                <w:bCs/>
              </w:rPr>
              <w:t xml:space="preserve">001_model_settings.sql</w:t>
            </w:r>
          </w:p>
        </w:tc>
        <w:tc>
          <w:tcPr>
            <w:tcW w:type="dxa" w:w="6600"/>
            <w:tcMar>
              <w:top w:type="dxa" w:w="100"/>
              <w:left w:type="dxa" w:w="120"/>
              <w:bottom w:type="dxa" w:w="100"/>
              <w:right w:type="dxa" w:w="120"/>
            </w:tcMar>
          </w:tcPr>
          <w:p>
            <w:r>
              <w:rPr>
                <w:b w:val="false"/>
                <w:bCs w:val="false"/>
              </w:rPr>
              <w:t xml:space="preserve">Creates the shared model_settings table (tier thresholds, penalties, etc.).</w:t>
            </w:r>
          </w:p>
        </w:tc>
      </w:tr>
      <w:tr>
        <w:tc>
          <w:tcPr>
            <w:tcW w:type="dxa" w:w="3200"/>
            <w:tcMar>
              <w:top w:type="dxa" w:w="100"/>
              <w:left w:type="dxa" w:w="120"/>
              <w:bottom w:type="dxa" w:w="100"/>
              <w:right w:type="dxa" w:w="120"/>
            </w:tcMar>
          </w:tcPr>
          <w:p>
            <w:r>
              <w:rPr>
                <w:b/>
                <w:bCs/>
              </w:rPr>
              <w:t xml:space="preserve">002_account_scorecard.sql</w:t>
            </w:r>
          </w:p>
        </w:tc>
        <w:tc>
          <w:tcPr>
            <w:tcW w:type="dxa" w:w="6600"/>
            <w:tcMar>
              <w:top w:type="dxa" w:w="100"/>
              <w:left w:type="dxa" w:w="120"/>
              <w:bottom w:type="dxa" w:w="100"/>
              <w:right w:type="dxa" w:w="120"/>
            </w:tcMar>
          </w:tcPr>
          <w:p>
            <w:r>
              <w:rPr>
                <w:b w:val="false"/>
                <w:bCs w:val="false"/>
              </w:rPr>
              <w:t xml:space="preserve">Adds the original Client Scorecard columns.</w:t>
            </w:r>
          </w:p>
        </w:tc>
      </w:tr>
      <w:tr>
        <w:tc>
          <w:tcPr>
            <w:tcW w:type="dxa" w:w="3200"/>
            <w:tcMar>
              <w:top w:type="dxa" w:w="100"/>
              <w:left w:type="dxa" w:w="120"/>
              <w:bottom w:type="dxa" w:w="100"/>
              <w:right w:type="dxa" w:w="120"/>
            </w:tcMar>
          </w:tcPr>
          <w:p>
            <w:r>
              <w:rPr>
                <w:b/>
                <w:bCs/>
              </w:rPr>
              <w:t xml:space="preserve">003_consolidate_scorecard_into_active_accounts.sql</w:t>
            </w:r>
          </w:p>
        </w:tc>
        <w:tc>
          <w:tcPr>
            <w:tcW w:type="dxa" w:w="6600"/>
            <w:tcMar>
              <w:top w:type="dxa" w:w="100"/>
              <w:left w:type="dxa" w:w="120"/>
              <w:bottom w:type="dxa" w:w="100"/>
              <w:right w:type="dxa" w:w="120"/>
            </w:tcMar>
          </w:tcPr>
          <w:p>
            <w:r>
              <w:rPr>
                <w:b w:val="false"/>
                <w:bCs w:val="false"/>
              </w:rPr>
              <w:t xml:space="preserve">Consolidates scorecard data onto the active_accounts table.</w:t>
            </w:r>
          </w:p>
        </w:tc>
      </w:tr>
      <w:tr>
        <w:tc>
          <w:tcPr>
            <w:tcW w:type="dxa" w:w="3200"/>
            <w:tcMar>
              <w:top w:type="dxa" w:w="100"/>
              <w:left w:type="dxa" w:w="120"/>
              <w:bottom w:type="dxa" w:w="100"/>
              <w:right w:type="dxa" w:w="120"/>
            </w:tcMar>
          </w:tcPr>
          <w:p>
            <w:r>
              <w:rPr>
                <w:b/>
                <w:bCs/>
              </w:rPr>
              <w:t xml:space="preserve">account-health-scorecard-and-talent-bands.sql</w:t>
            </w:r>
          </w:p>
        </w:tc>
        <w:tc>
          <w:tcPr>
            <w:tcW w:type="dxa" w:w="6600"/>
            <w:tcMar>
              <w:top w:type="dxa" w:w="100"/>
              <w:left w:type="dxa" w:w="120"/>
              <w:bottom w:type="dxa" w:w="100"/>
              <w:right w:type="dxa" w:w="120"/>
            </w:tcMar>
          </w:tcPr>
          <w:p>
            <w:r>
              <w:rPr>
                <w:b w:val="false"/>
                <w:bCs w:val="false"/>
              </w:rPr>
              <w:t xml:space="preserve">Adds the configurable Account Health weights and Talent Insights band columns.</w:t>
            </w:r>
          </w:p>
        </w:tc>
      </w:tr>
      <w:tr>
        <w:tc>
          <w:tcPr>
            <w:tcW w:type="dxa" w:w="3200"/>
            <w:tcMar>
              <w:top w:type="dxa" w:w="100"/>
              <w:left w:type="dxa" w:w="120"/>
              <w:bottom w:type="dxa" w:w="100"/>
              <w:right w:type="dxa" w:w="120"/>
            </w:tcMar>
          </w:tcPr>
          <w:p>
            <w:r>
              <w:rPr>
                <w:b/>
                <w:bCs/>
              </w:rPr>
              <w:t xml:space="preserve">revenue-headcount-source-columns.sql</w:t>
            </w:r>
          </w:p>
        </w:tc>
        <w:tc>
          <w:tcPr>
            <w:tcW w:type="dxa" w:w="6600"/>
            <w:tcMar>
              <w:top w:type="dxa" w:w="100"/>
              <w:left w:type="dxa" w:w="120"/>
              <w:bottom w:type="dxa" w:w="100"/>
              <w:right w:type="dxa" w:w="120"/>
            </w:tcMar>
          </w:tcPr>
          <w:p>
            <w:r>
              <w:rPr>
                <w:b w:val="false"/>
                <w:bCs w:val="false"/>
              </w:rPr>
              <w:t xml:space="preserve">Adds the Cognism/Creditsafe source-tracking columns for Revenue and Headcount.</w:t>
            </w:r>
          </w:p>
        </w:tc>
      </w:tr>
      <w:tr>
        <w:tc>
          <w:tcPr>
            <w:tcW w:type="dxa" w:w="3200"/>
            <w:tcMar>
              <w:top w:type="dxa" w:w="100"/>
              <w:left w:type="dxa" w:w="120"/>
              <w:bottom w:type="dxa" w:w="100"/>
              <w:right w:type="dxa" w:w="120"/>
            </w:tcMar>
          </w:tcPr>
          <w:p>
            <w:r>
              <w:rPr>
                <w:b/>
                <w:bCs/>
              </w:rPr>
              <w:t xml:space="preserve">credit-risk-scoring-category.sql</w:t>
            </w:r>
          </w:p>
        </w:tc>
        <w:tc>
          <w:tcPr>
            <w:tcW w:type="dxa" w:w="6600"/>
            <w:tcMar>
              <w:top w:type="dxa" w:w="100"/>
              <w:left w:type="dxa" w:w="120"/>
              <w:bottom w:type="dxa" w:w="100"/>
              <w:right w:type="dxa" w:w="120"/>
            </w:tcMar>
          </w:tcPr>
          <w:p>
            <w:r>
              <w:rPr>
                <w:b w:val="false"/>
                <w:bCs w:val="false"/>
              </w:rPr>
              <w:t xml:space="preserve">Adds the Credit Risk scoring category and the Credit Limit reference field.</w:t>
            </w:r>
          </w:p>
        </w:tc>
      </w:tr>
    </w:tbl>
    <w:p>
      <w:pPr>
        <w:spacing w:after="120"/>
      </w:pPr>
    </w:p>
    <w:p>
      <w:pPr>
        <w:spacing w:after="160"/>
      </w:pPr>
      <w:r>
        <w:t xml:space="preserve">The app refreshes open pages automatically roughly every 5 seconds, so most configuration changes are visible to the whole team within a few seconds — no deploy or restart is needed for day-to-day tuning.</w:t>
      </w:r>
    </w:p>
    <w:p>
      <w:pPr>
        <w:spacing w:after="240"/>
      </w:pPr>
    </w:p>
    <w:p>
      <w:pPr>
        <w:pBdr>
          <w:top w:val="single" w:color="2E5339" w:sz="6" w:space="8"/>
        </w:pBdr>
        <w:spacing w:before="200"/>
      </w:pPr>
    </w:p>
    <w:p>
      <w:pPr>
        <w:spacing w:after="160"/>
      </w:pPr>
      <w:r>
        <w:rPr>
          <w:i/>
          <w:iCs/>
          <w:color w:val="6B7280"/>
        </w:rPr>
        <w:t xml:space="preserve">End of handover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b/>
      <w:bCs/>
      <w:color w:val="2E5339"/>
      <w:sz w:val="32"/>
      <w:szCs w:val="32"/>
    </w:rPr>
  </w:style>
  <w:style w:type="paragraph" w:styleId="Heading2">
    <w:name w:val="Heading 2"/>
    <w:basedOn w:val="Normal"/>
    <w:next w:val="Normal"/>
    <w:qFormat/>
    <w:pPr>
      <w:spacing w:after="140" w:before="280"/>
      <w:outlineLvl w:val="1"/>
    </w:pPr>
    <w:rPr>
      <w:b/>
      <w:bCs/>
      <w:color w:val="2E5339"/>
      <w:sz w:val="26"/>
      <w:szCs w:val="26"/>
    </w:rPr>
  </w:style>
  <w:style w:type="paragraph" w:styleId="Heading3">
    <w:name w:val="Heading 3"/>
    <w:basedOn w:val="Normal"/>
    <w:next w:val="Normal"/>
    <w:qFormat/>
    <w:pPr>
      <w:spacing w:after="100" w:before="220"/>
      <w:outlineLvl w:val="2"/>
    </w:pPr>
    <w:rPr>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2026-09-20T03:31:54.954Z</dcterms:created>
  <dcterms:modified xsi:type="dcterms:W3CDTF">2026-09-20T03:31:54.955Z</dcterms:modified>
</cp:coreProperties>
</file>

<file path=docProps/custom.xml><?xml version="1.0" encoding="utf-8"?>
<Properties xmlns="http://schemas.openxmlformats.org/officeDocument/2006/custom-properties" xmlns:vt="http://schemas.openxmlformats.org/officeDocument/2006/docPropsVTypes"/>
</file>