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53EE" w:rsidRDefault="00C253EE" w:rsidP="00C253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O</w:t>
      </w:r>
      <w:r w:rsidRPr="00C253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NE-PAGE DECISION MEMO</w:t>
      </w:r>
    </w:p>
    <w:p w:rsidR="00C253EE" w:rsidRPr="00C253EE" w:rsidRDefault="00C253EE" w:rsidP="00C253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253EE">
        <w:rPr>
          <w:lang w:eastAsia="en-IN"/>
        </w:rPr>
        <w:t>Case 01 – STABILIS</w:t>
      </w:r>
      <w:r w:rsidRPr="00C253EE">
        <w:rPr>
          <w:lang w:eastAsia="en-IN"/>
        </w:rPr>
        <w:br/>
        <w:t>Team: UVR TECHNIES</w:t>
      </w:r>
    </w:p>
    <w:p w:rsidR="00CF7B94" w:rsidRDefault="00C253EE" w:rsidP="00C25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53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Executive </w:t>
      </w:r>
      <w:proofErr w:type="spellStart"/>
      <w:r w:rsidRPr="00C253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Summary</w:t>
      </w:r>
      <w:proofErr w:type="gramStart"/>
      <w:r w:rsidR="00CF7B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  <w:r w:rsidRPr="00C253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STABILIS</w:t>
      </w:r>
      <w:proofErr w:type="spellEnd"/>
      <w:proofErr w:type="gramEnd"/>
      <w:r w:rsidRPr="00C253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facing revenue volatility driven primarily by declining spending intensity rather than large-scale customer churn. Revenue declined by 23% while the user base contracted by only 7%, indicating structural weakness in Average Order Value (AOV) and transaction frequency among retained users.</w:t>
      </w:r>
    </w:p>
    <w:p w:rsidR="00C253EE" w:rsidRPr="00C253EE" w:rsidRDefault="00C253EE" w:rsidP="00C25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bookmarkStart w:id="0" w:name="_GoBack"/>
      <w:bookmarkEnd w:id="0"/>
      <w:r w:rsidRPr="00C253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proofErr w:type="spellStart"/>
      <w:r w:rsidRPr="00C253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behavioral</w:t>
      </w:r>
      <w:proofErr w:type="spellEnd"/>
      <w:r w:rsidRPr="00C253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revenue model was developed using a structured decomposition:</w:t>
      </w:r>
    </w:p>
    <w:p w:rsidR="00C253EE" w:rsidRPr="00C253EE" w:rsidRDefault="00C253EE" w:rsidP="00C25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53E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ERPU = </w:t>
      </w:r>
      <w:proofErr w:type="gramStart"/>
      <w:r w:rsidRPr="00C253E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P(</w:t>
      </w:r>
      <w:proofErr w:type="gramEnd"/>
      <w:r w:rsidRPr="00C253E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Purchase) × E(Basket Value) × (1 − Return Risk)</w:t>
      </w:r>
    </w:p>
    <w:p w:rsidR="00C253EE" w:rsidRPr="00C253EE" w:rsidRDefault="00C253EE" w:rsidP="00C25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53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model separates probability, value, and risk components to identify structural fragility in revenue generation.</w:t>
      </w:r>
    </w:p>
    <w:p w:rsidR="00C253EE" w:rsidRPr="00C253EE" w:rsidRDefault="00C253EE" w:rsidP="00C253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253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What Changed After Validation?</w:t>
      </w:r>
    </w:p>
    <w:p w:rsidR="00C253EE" w:rsidRPr="00C253EE" w:rsidRDefault="00C253EE" w:rsidP="00C25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53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validation dataset confirmed that no structural regime shift occurred. However:</w:t>
      </w:r>
    </w:p>
    <w:p w:rsidR="00C253EE" w:rsidRPr="00C253EE" w:rsidRDefault="00C253EE" w:rsidP="00C253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53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ERPU levels adjusted downward due to overall market contraction.</w:t>
      </w:r>
    </w:p>
    <w:p w:rsidR="00C253EE" w:rsidRPr="00C253EE" w:rsidRDefault="00C253EE" w:rsidP="00C253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53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Revenue concentration remains high (top decile dominant).</w:t>
      </w:r>
    </w:p>
    <w:p w:rsidR="00C253EE" w:rsidRPr="00C253EE" w:rsidRDefault="00C253EE" w:rsidP="00C253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53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Ranking quality improved (Top Decile Lift increased from 2.1x to 2.6x).</w:t>
      </w:r>
    </w:p>
    <w:p w:rsidR="00C253EE" w:rsidRPr="00C253EE" w:rsidRDefault="00C253EE" w:rsidP="00C253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53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Heavy-tail basket distortion required smoothing for stability.</w:t>
      </w:r>
    </w:p>
    <w:p w:rsidR="00C253EE" w:rsidRPr="00C253EE" w:rsidRDefault="00C253EE" w:rsidP="00C25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53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core </w:t>
      </w:r>
      <w:proofErr w:type="spellStart"/>
      <w:r w:rsidRPr="00C253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behavioral</w:t>
      </w:r>
      <w:proofErr w:type="spellEnd"/>
      <w:r w:rsidRPr="00C253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drivers remain valid and generalizable.</w:t>
      </w:r>
    </w:p>
    <w:p w:rsidR="00C253EE" w:rsidRPr="00C253EE" w:rsidRDefault="00C253EE" w:rsidP="00C253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253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Trade-Offs Accepted</w:t>
      </w:r>
    </w:p>
    <w:p w:rsidR="00C253EE" w:rsidRPr="00C253EE" w:rsidRDefault="00C253EE" w:rsidP="00C253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53E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Precision vs Robustness</w:t>
      </w:r>
      <w:r w:rsidRPr="00C253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Extreme high-value transactions were clipped to reduce volatility bias and improve generalization.</w:t>
      </w:r>
    </w:p>
    <w:p w:rsidR="00C253EE" w:rsidRPr="00C253EE" w:rsidRDefault="00C253EE" w:rsidP="00C253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53E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Gross Revenue vs Net Stability</w:t>
      </w:r>
      <w:r w:rsidRPr="00C253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Focus shifted from gross sales maximization to protecting net contribution by incorporating return-risk adjustments.</w:t>
      </w:r>
    </w:p>
    <w:p w:rsidR="00C253EE" w:rsidRPr="00C253EE" w:rsidRDefault="00C253EE" w:rsidP="00C253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53E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Complexity vs Interpretability</w:t>
      </w:r>
      <w:r w:rsidRPr="00C253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proofErr w:type="gramStart"/>
      <w:r w:rsidRPr="00C253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Maintained</w:t>
      </w:r>
      <w:proofErr w:type="gramEnd"/>
      <w:r w:rsidRPr="00C253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linear ERPU decomposition instead of black-box </w:t>
      </w:r>
      <w:proofErr w:type="spellStart"/>
      <w:r w:rsidRPr="00C253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modeling</w:t>
      </w:r>
      <w:proofErr w:type="spellEnd"/>
      <w:r w:rsidRPr="00C253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ensure Board-level transparency.</w:t>
      </w:r>
    </w:p>
    <w:p w:rsidR="00C253EE" w:rsidRPr="00C253EE" w:rsidRDefault="00C253EE" w:rsidP="00C253EE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253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Final Decision Direction</w:t>
      </w:r>
    </w:p>
    <w:p w:rsidR="00C253EE" w:rsidRPr="00C253EE" w:rsidRDefault="00C253EE" w:rsidP="00C25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53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validated ERPU framework confirms stable user ranking and concentration risk exposure. For Stage 3 optimization under potential constraints:</w:t>
      </w:r>
    </w:p>
    <w:p w:rsidR="00C253EE" w:rsidRPr="00C253EE" w:rsidRDefault="00C253EE" w:rsidP="00C253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53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Prioritize top validated deciles based on stable ERPU.</w:t>
      </w:r>
    </w:p>
    <w:p w:rsidR="00C253EE" w:rsidRPr="00C253EE" w:rsidRDefault="00C253EE" w:rsidP="00C253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53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Filter high return-risk clusters to protect margin.</w:t>
      </w:r>
    </w:p>
    <w:p w:rsidR="00C253EE" w:rsidRPr="00C253EE" w:rsidRDefault="00C253EE" w:rsidP="00C253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53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Avoid over-allocation to volatile heavy-tail spenders.</w:t>
      </w:r>
    </w:p>
    <w:p w:rsidR="00C253EE" w:rsidRPr="00C253EE" w:rsidRDefault="00C253EE" w:rsidP="00C253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53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Optimize within capital or operational limits using validated </w:t>
      </w:r>
      <w:proofErr w:type="spellStart"/>
      <w:r w:rsidRPr="00C253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behavioral</w:t>
      </w:r>
      <w:proofErr w:type="spellEnd"/>
      <w:r w:rsidRPr="00C253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signals.</w:t>
      </w:r>
    </w:p>
    <w:p w:rsidR="00C253EE" w:rsidRPr="00C253EE" w:rsidRDefault="00C253EE" w:rsidP="00C253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253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Residual Risks</w:t>
      </w:r>
    </w:p>
    <w:p w:rsidR="00C253EE" w:rsidRPr="00C253EE" w:rsidRDefault="00C253EE" w:rsidP="00C253E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53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High revenue concentration dependency.</w:t>
      </w:r>
    </w:p>
    <w:p w:rsidR="00C253EE" w:rsidRPr="00C253EE" w:rsidRDefault="00C253EE" w:rsidP="00C253E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53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Margin erosion from return-prone segments.</w:t>
      </w:r>
    </w:p>
    <w:p w:rsidR="00C253EE" w:rsidRPr="00C253EE" w:rsidRDefault="00C253EE" w:rsidP="00C253E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53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Potential </w:t>
      </w:r>
      <w:proofErr w:type="spellStart"/>
      <w:r w:rsidRPr="00C253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behavioral</w:t>
      </w:r>
      <w:proofErr w:type="spellEnd"/>
      <w:r w:rsidRPr="00C253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drift under external shocks.</w:t>
      </w:r>
    </w:p>
    <w:p w:rsidR="00C253EE" w:rsidRPr="00C253EE" w:rsidRDefault="00C253EE" w:rsidP="00C25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53E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Conclusion</w:t>
      </w:r>
      <w:proofErr w:type="gramStart"/>
      <w:r w:rsidRPr="00C253E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:</w:t>
      </w:r>
      <w:proofErr w:type="gramEnd"/>
      <w:r w:rsidRPr="00C253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The </w:t>
      </w:r>
      <w:proofErr w:type="spellStart"/>
      <w:r w:rsidRPr="00C253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behavioral</w:t>
      </w:r>
      <w:proofErr w:type="spellEnd"/>
      <w:r w:rsidRPr="00C253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revenue model is structurally stable and optimization-ready. Strategic focus should prioritize net contribution stability over aggressive expansion, especially under constrained environments.</w:t>
      </w:r>
    </w:p>
    <w:p w:rsidR="00C253EE" w:rsidRDefault="00C253EE" w:rsidP="00C253EE"/>
    <w:p w:rsidR="00C253EE" w:rsidRDefault="00C253EE" w:rsidP="00C253EE"/>
    <w:p w:rsidR="00C253EE" w:rsidRDefault="00C253EE" w:rsidP="00C253EE"/>
    <w:p w:rsidR="00C253EE" w:rsidRDefault="00C253EE" w:rsidP="00C253EE"/>
    <w:p w:rsidR="00C253EE" w:rsidRDefault="00C253EE" w:rsidP="00C253EE"/>
    <w:p w:rsidR="00C253EE" w:rsidRDefault="00C253EE" w:rsidP="00C253EE"/>
    <w:p w:rsidR="00C253EE" w:rsidRDefault="00C253EE" w:rsidP="00C253EE"/>
    <w:p w:rsidR="00C253EE" w:rsidRDefault="00C253EE" w:rsidP="00C253EE"/>
    <w:p w:rsidR="00C253EE" w:rsidRDefault="00C253EE" w:rsidP="00C253EE"/>
    <w:p w:rsidR="00C253EE" w:rsidRDefault="00C253EE" w:rsidP="00C253EE"/>
    <w:p w:rsidR="00C253EE" w:rsidRDefault="00C253EE" w:rsidP="00C253EE"/>
    <w:p w:rsidR="00C253EE" w:rsidRDefault="00C253EE" w:rsidP="00C253EE"/>
    <w:p w:rsidR="00C253EE" w:rsidRDefault="00C253EE" w:rsidP="00C253EE"/>
    <w:p w:rsidR="00C253EE" w:rsidRDefault="00C253EE" w:rsidP="00C253EE"/>
    <w:p w:rsidR="00C253EE" w:rsidRDefault="00C253EE" w:rsidP="00C253EE"/>
    <w:p w:rsidR="00C253EE" w:rsidRDefault="00C253EE" w:rsidP="00C253EE"/>
    <w:p w:rsidR="00C253EE" w:rsidRDefault="00C253EE" w:rsidP="00C253EE"/>
    <w:p w:rsidR="00C253EE" w:rsidRDefault="00C253EE" w:rsidP="00C253EE"/>
    <w:p w:rsidR="00C253EE" w:rsidRDefault="00C253EE" w:rsidP="00C253EE"/>
    <w:p w:rsidR="00C253EE" w:rsidRDefault="00C253EE" w:rsidP="00C253EE"/>
    <w:p w:rsidR="00C253EE" w:rsidRDefault="00C253EE" w:rsidP="00C253EE"/>
    <w:p w:rsidR="00C253EE" w:rsidRDefault="00C253EE" w:rsidP="00C253EE"/>
    <w:p w:rsidR="00C253EE" w:rsidRDefault="00C253EE" w:rsidP="00C253EE"/>
    <w:p w:rsidR="00C253EE" w:rsidRPr="00C253EE" w:rsidRDefault="00C253EE" w:rsidP="00C253EE"/>
    <w:p w:rsidR="00C253EE" w:rsidRPr="00C253EE" w:rsidRDefault="00C253EE" w:rsidP="00C253EE"/>
    <w:sectPr w:rsidR="00C253EE" w:rsidRPr="00C253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E147B2"/>
    <w:multiLevelType w:val="multilevel"/>
    <w:tmpl w:val="94920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71700"/>
    <w:multiLevelType w:val="multilevel"/>
    <w:tmpl w:val="FEE4F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D0004D"/>
    <w:multiLevelType w:val="multilevel"/>
    <w:tmpl w:val="54583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114F40"/>
    <w:multiLevelType w:val="multilevel"/>
    <w:tmpl w:val="10DE9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0801F9"/>
    <w:multiLevelType w:val="multilevel"/>
    <w:tmpl w:val="A0A0C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6A353A"/>
    <w:multiLevelType w:val="multilevel"/>
    <w:tmpl w:val="68700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3A2CB3"/>
    <w:multiLevelType w:val="multilevel"/>
    <w:tmpl w:val="00C25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A5087F"/>
    <w:multiLevelType w:val="multilevel"/>
    <w:tmpl w:val="3EE8D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6"/>
  </w:num>
  <w:num w:numId="4">
    <w:abstractNumId w:val="7"/>
  </w:num>
  <w:num w:numId="5">
    <w:abstractNumId w:val="3"/>
  </w:num>
  <w:num w:numId="6">
    <w:abstractNumId w:val="1"/>
  </w:num>
  <w:num w:numId="7">
    <w:abstractNumId w:val="5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03AF"/>
    <w:rsid w:val="002303AF"/>
    <w:rsid w:val="00297591"/>
    <w:rsid w:val="008B6914"/>
    <w:rsid w:val="00C253EE"/>
    <w:rsid w:val="00CF7B94"/>
    <w:rsid w:val="00FF2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9974C"/>
  <w15:chartTrackingRefBased/>
  <w15:docId w15:val="{C6821187-0C65-4C40-B6ED-E3543AD25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253EE"/>
  </w:style>
  <w:style w:type="paragraph" w:styleId="Heading1">
    <w:name w:val="heading 1"/>
    <w:basedOn w:val="Normal"/>
    <w:link w:val="Heading1Char"/>
    <w:uiPriority w:val="9"/>
    <w:qFormat/>
    <w:rsid w:val="002303A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2303A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2303A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03A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2303AF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2303AF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303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2303AF"/>
    <w:rPr>
      <w:b/>
      <w:bCs/>
    </w:rPr>
  </w:style>
  <w:style w:type="paragraph" w:styleId="NoSpacing">
    <w:name w:val="No Spacing"/>
    <w:uiPriority w:val="1"/>
    <w:qFormat/>
    <w:rsid w:val="00C253E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758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93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88AA0B-F78B-4E47-8942-7E4F8BFFF3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342</Words>
  <Characters>1950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Shaik.AbdulRazak</dc:creator>
  <cp:keywords/>
  <dc:description/>
  <cp:lastModifiedBy>Shaik.AbdulRazak</cp:lastModifiedBy>
  <cp:revision>2</cp:revision>
  <dcterms:created xsi:type="dcterms:W3CDTF">2026-03-01T03:20:00Z</dcterms:created>
  <dcterms:modified xsi:type="dcterms:W3CDTF">2026-03-01T03:20:00Z</dcterms:modified>
</cp:coreProperties>
</file>