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 xml:space="preserve">AegisAI</w:t>
      </w:r>
    </w:p>
    <w:p>
      <w:pPr>
        <w:spacing w:after="60"/>
        <w:jc w:val="center"/>
      </w:pPr>
      <w:r>
        <w:rPr>
          <w:i/>
          <w:iCs/>
          <w:color w:val="6B7280"/>
          <w:sz w:val="26"/>
          <w:szCs w:val="26"/>
        </w:rPr>
        <w:t xml:space="preserve">Sovereign, Agentic AI Workbench for Confidential Industrial Work</w:t>
      </w:r>
    </w:p>
    <w:p>
      <w:pPr>
        <w:spacing w:after="200"/>
      </w:pPr>
    </w:p>
    <w:p>
      <w:pPr>
        <w:spacing w:after="40"/>
        <w:jc w:val="center"/>
      </w:pPr>
      <w:r>
        <w:rPr>
          <w:color w:val="6B7280"/>
          <w:sz w:val="20"/>
          <w:szCs w:val="20"/>
        </w:rPr>
        <w:t xml:space="preserve">Product Requirements Document (PRD)</w:t>
      </w:r>
    </w:p>
    <w:p>
      <w:pPr>
        <w:spacing w:after="40"/>
        <w:jc w:val="center"/>
      </w:pPr>
      <w:r>
        <w:rPr>
          <w:color w:val="6B7280"/>
          <w:sz w:val="20"/>
          <w:szCs w:val="20"/>
        </w:rPr>
        <w:t xml:space="preserve">Smart India Hackathon 2026 — Problem Statement SIH26117</w:t>
      </w:r>
    </w:p>
    <w:p>
      <w:pPr>
        <w:spacing w:after="40"/>
        <w:jc w:val="center"/>
      </w:pPr>
      <w:r>
        <w:rPr>
          <w:color w:val="6B7280"/>
          <w:sz w:val="20"/>
          <w:szCs w:val="20"/>
        </w:rPr>
        <w:t xml:space="preserve">Team GLITCH</w:t>
      </w:r>
    </w:p>
    <w:p>
      <w:pPr>
        <w:spacing w:after="40"/>
        <w:jc w:val="center"/>
      </w:pPr>
      <w:r>
        <w:rPr>
          <w:color w:val="6B7280"/>
          <w:sz w:val="20"/>
          <w:szCs w:val="20"/>
        </w:rPr>
        <w:t xml:space="preserve">Version 1.0 — Draft for Build Phase</w:t>
      </w:r>
    </w:p>
    <w:p>
      <w:r>
        <w:br w:type="page"/>
      </w:r>
    </w:p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AegisAI is a sovereign, fully on-premise, agentic AI workbench built for confidential industrial and government (PSU/defense) environments where sending data to cloud AI tools is not permissible. Unlike single-model chatbots or cloud-tethered enterprise copilots, AegisAI combines multimodal document understanding, citation-grounded retrieval, multi-step agentic execution, and mandatory human-in-the-loop approval — all running with zero external API dependency.</w:t>
      </w:r>
    </w:p>
    <w:p>
      <w:pPr>
        <w:spacing w:after="120"/>
      </w:pPr>
      <w:r>
        <w:rPr>
          <w:sz w:val="22"/>
          <w:szCs w:val="22"/>
        </w:rPr>
        <w:t xml:space="preserve">This document defines what AegisAI must do, for whom, in what order, and how success will be measured across the hackathon build phase and beyond.</w:t>
      </w:r>
    </w:p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2. Problem statement</w:t>
      </w:r>
    </w:p>
    <w:p>
      <w:pPr>
        <w:spacing w:after="120"/>
      </w:pPr>
      <w:r>
        <w:rPr>
          <w:sz w:val="22"/>
          <w:szCs w:val="22"/>
        </w:rPr>
        <w:t xml:space="preserve">Engineers and staff at PSUs, defense-adjacent organizations, and confidentiality-bound industrial sites face a hard choice today: do document-heavy knowledge work manually, or use unauthorized public AI tools that risk leaking confidential data. Existing on-premise AI options are limited to single-model chatbots that cannot execute multi-step tasks, parse industrial documents (P&amp;IDs, scanned SOPs, technical drawings), or provide auditable, citation-backed answers.</w:t>
      </w:r>
    </w:p>
    <w:p>
      <w:pPr>
        <w:spacing w:after="120"/>
      </w:pPr>
      <w:r>
        <w:rPr>
          <w:sz w:val="22"/>
          <w:szCs w:val="22"/>
        </w:rPr>
        <w:t xml:space="preserve">The cost of not solving this: continued manual effort on document-heavy compliance and engineering tasks, inconsistent shadow use of non-compliant AI tools, and no path to safe AI adoption in air-gapped or highly regulated environments.</w:t>
      </w:r>
    </w:p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3. Goals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User goals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Let an engineer or compliance officer ask natural-language questions about internal technical documents and get answers grounded in exact page-level citations.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Let staff automate multi-step document/knowledge tasks (cross-referencing SOPs, extracting figures, generating reports) without leaving a single tool.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Give administrators confidence that no data ever leaves the organization's infrastructure, provably.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Business / competition goals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Demonstrate, at the SIH prototype/finals stage, a working end-to-end flow: document upload → agentic multi-step processing → human-approved, cited deliverable.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Differentiate clearly from existing on-premise chatbots (Ollama/Open WebUI-class tools) and cloud copilots (Copilot Studio, Vertex AI) on agentic execution, citation grounding, and provable air-gap operation.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Build an architecture that is honestly staged — every claim in the pitch is mapped to a real, verifiable build status.</w:t>
      </w:r>
    </w:p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4. Non-goals (out of scope for v1)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Full free-form handwriting recognition — only semi-structured handwritten logs (checklists, forms) are targeted; general cursive/handwriting OCR is a known hard limit of current open-weight models and is explicitly flagged, not silently assumed.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Multi-tenant SaaS / cloud-hosted deployment — v1 targets single-organization, on-premise or private-cloud deployment only.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Real-time collaborative multi-user editing of generated documents — v1 delivers single-user-generated deliverables (docx/pptx/xlsx exports).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Support for closed-weight/proprietary models (GPT, Claude, Gemini) — architecture is open-weight-only by design, for sovereignty and cost reasons.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Mobile app — v1 is a web-based workbench (desktop browser) only.</w:t>
      </w:r>
    </w:p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5. Target users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need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Plant / process engineer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Uses P&amp;IDs, SOPs, and technical drawings daily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Fast, trustworthy answers about equipment specs and compliance without manual document search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Compliance / safety officer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Verifies adherence to ASME/CERT-In/internal standards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Auditable, citation-backed evidence for every figure or recommendation used in a report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IT / security administrator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Owns infrastructure, security posture, access control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Proof of zero data egress, RBAC, and audit logging before approving org-wide rollout</w:t>
            </w:r>
          </w:p>
        </w:tc>
      </w:tr>
    </w:tbl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6. User stories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Plant / process engineer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 a plant engineer, I want to upload a P&amp;ID drawing and ask questions about it in plain language, so that I don't have to manually search dense technical diagrams.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 a plant engineer, I want every answer to show me the exact source page it came from, so that I can verify it before relying on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 a plant engineer, I want to generate a formatted report from my query, so that I can share findings without manually reformatting.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Compliance / safety officer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 a compliance officer, I want the system to flag any figure that falls outside expected safety ranges, so that errors are caught before they reach a report.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 a compliance officer, I want to review and approve any high-risk AI output before it's finalized, so that no unverified figure goes out under my name.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IT / security administrator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 an IT admin, I want to see a live log proving zero external network calls were made during a session, so that I can certify air-gap compliance.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 an IT admin, I want role-based access control on document types, so that sensitive documents are only visible to authorized users.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 an IT admin, I want an audit trail of every query, output, and approval, so that I can respond to a compliance review at any time.</w:t>
      </w:r>
    </w:p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7. System architecture overview</w:t>
      </w:r>
    </w:p>
    <w:p>
      <w:pPr>
        <w:spacing w:after="120"/>
      </w:pPr>
      <w:r>
        <w:rPr>
          <w:sz w:val="22"/>
          <w:szCs w:val="22"/>
        </w:rPr>
        <w:t xml:space="preserve">AegisAI is built as five cooperating layers, each mapped to an implementation phase (see Section 10):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tech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/ backend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handling, orchestration entry point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FastAPI, Docker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Ingestion &amp; retrieval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Parse documents, chunk, embed, retrieve with citations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PyMuPDF/pdfplumber, ChromaDB, hybrid BM25+dense (Sentence-BERT)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layer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Task-specific inference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runtime; Qwen2.5-Coder-7B (code), Qwen2-VL-7B (vision/OCR-assist), Qwen2.5-7B (reasoning)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layer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Multi-step planning, execution, self-verification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 plan-execute-verify loop, Docker sandbox for tool use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Governance layer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 classification, HITL approval, audit, access control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Industrial Risk Engine (4-stage), RBAC, audit ledger, network egress monitor</w:t>
            </w:r>
          </w:p>
        </w:tc>
      </w:tr>
    </w:tbl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8. Functional requirements</w:t>
      </w:r>
    </w:p>
    <w:p>
      <w:pPr>
        <w:spacing w:after="120"/>
      </w:pPr>
      <w:r>
        <w:rPr>
          <w:sz w:val="22"/>
          <w:szCs w:val="22"/>
        </w:rPr>
        <w:t xml:space="preserve">Requirements are grouped by priority using the MoSCoW framework and mapped to build phases from Section 10.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P0 — Must have (Phase 1–2)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Upload a PDF document and have it ingested (text-extracted, chunked, embedded) into the retrieval store.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Ask a natural-language question and receive an answer grounded in retrieved chunks, with page-level citations returned in the API response.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Parse scanned/structured technical documents (P&amp;IDs) using OCR + vision model for text and value extraction.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Route each task to the appropriate local model automatically (task classifier + model registry).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Acceptance criteria — P0 core RAG query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Given a document has been ingested, when a user submits a question, then the response includes an answer and at least one citation with a page number.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Given a query has no relevant matching content, when it is submitted, then the system returns a clear “no relevant source found” response rather than a fabricated answer.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Given a malformed or unreadable PDF is uploaded, when ingestion runs, then the system returns a clear error rather than failing silently.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P1 — Should have (Phase 3–4)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Execute multi-step agentic tasks (plan → execute → verify → retry) using the LangGraph loop and a Docker sandbox for tool use.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Run high-risk outputs (numeric/safety-related figures) through the 4-stage Industrial Risk Engine before delivery.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Hold any high-risk output at a mandatory human-in-the-loop approval screen before export.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Enforce RBAC on document access and maintain an audit ledger of queries, outputs, and approvals.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Run a network-egress monitor that logs and proves zero outbound calls during operation.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Acceptance criteria — P1 human-in-the-loop gate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Given an output is classified high-risk, when the agent completes processing, then the output is held pending human approval and cannot be exported until approved.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Given the approver rejects an output, when rejection is submitted, then the agent receives the rejection reason and can retry or the task is marked incomplete.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P2 — Future considerations (Phase 5, post-selection)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One-click Docker Compose deployment package for a second site/plant.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Plug in additional open-weight models without code changes (model registry extension).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Pilot deployment with a real PSU/defense partner organization.</w:t>
      </w:r>
    </w:p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9. Non-functional requirements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Single-model inference latency target: 15–25 tokens/sec on a 12GB-VRAM GPU workstation (Q4_K_M quantization). Model swap latency ≤ 6 seconds.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 outbound network calls during normal operation, verified live by the network-egress monitor. RBAC enforced on all document access.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7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 must support CERT-In and NCIIPC air-gap guidance; no external API dependency at any point in the pipeline.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Ingestion pipeline must fail gracefully (clear error) rather than silently on malformed input.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query, model output, and human approval/rejection decision is logged with a timestamp and user identity.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open-weight models can be added to the model registry without changes to the orchestration code.</w:t>
            </w:r>
          </w:p>
        </w:tc>
      </w:tr>
    </w:tbl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10. Timeline and phasing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2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Demo checkpoint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— Foundation &amp; core RAG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backend, Docker env, ChromaDB hybrid RAG, PDF ingestion + citations, basic UI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a PDF, get a cited answer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— Multimodal &amp; routing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Surya OCR, Qwen2-VL parsing, task classifier + model router, model registry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Parse a scanned P&amp;ID drawing live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— Agentic execution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 plan-execute-verify loop, Docker sandbox, Industrial Risk Engine, self-verification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completes a multi-step task solo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— Governance &amp; security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Weeks 7–8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RBAC, audit ledger, HITL approval UI, network egress monitor, prompt-injection guardrails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Prove zero external network calls, live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— Scale &amp; deployment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Post-selection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One-click deployment package, multi-site rollout, model plug-in, PSU pilot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 the same package to a 2nd site</w:t>
            </w:r>
          </w:p>
        </w:tc>
      </w:tr>
    </w:tbl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1F3864" w:sz="4"/>
              <w:left w:val="single" w:color="1F3864" w:sz="24"/>
              <w:bottom w:val="single" w:color="1F3864" w:sz="4"/>
              <w:right w:val="single" w:color="1F3864" w:sz="4"/>
            </w:tcBorders>
            <w:shd w:fill="E8EE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Build discipline:</w:t>
            </w:r>
          </w:p>
          <w:p>
            <w:pPr>
              <w:spacing w:before="60"/>
            </w:pPr>
            <w:r>
              <w:rPr>
                <w:sz w:val="21"/>
                <w:szCs w:val="21"/>
              </w:rPr>
              <w:t xml:space="preserve">Every capability's status (built / in progress / planned) must be kept honest and current — do not mark anything “built” in the pitch deck or roadmap until it is actually demoable.</w:t>
            </w:r>
          </w:p>
        </w:tc>
      </w:tr>
    </w:tbl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11. Success metrics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Leading indicators (hackathon build phase)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Phase 1 core RAG flow (upload → cited answer) working end-to-end: target by end of Week 2.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Query response time from a working prototype: under 10 seconds for a standard document question.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Citation accuracy: manually verified correct page match on a test set of at least 20 sample questions.</w:t>
      </w:r>
    </w:p>
    <w:p>
      <w:pPr>
        <w:pStyle w:val="Heading2"/>
        <w:spacing w:after="120" w:before="260"/>
      </w:pPr>
      <w:r>
        <w:rPr>
          <w:b/>
          <w:bCs/>
          <w:color w:val="D9622B"/>
          <w:sz w:val="23"/>
          <w:szCs w:val="23"/>
        </w:rPr>
        <w:t xml:space="preserve">Lagging indicators (competition outcome)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Selection into SIH prototype/finals round.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Judge Q&amp;A: no claim on the pitch deck is contradicted or fails when tested live.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piloted post-competition: reduction in manual document-search time reported by a real engineer/compliance user.</w:t>
      </w:r>
    </w:p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12. API contract (v1)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POST /upload</w:t>
      </w:r>
    </w:p>
    <w:p>
      <w:pPr>
        <w:spacing w:after="120"/>
      </w:pPr>
      <w:r>
        <w:rPr>
          <w:sz w:val="22"/>
          <w:szCs w:val="22"/>
        </w:rPr>
        <w:t xml:space="preserve">Multipart form upload of a PDF. Returns { doc_id, pages, status }.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POST /query</w:t>
      </w:r>
    </w:p>
    <w:p>
      <w:pPr>
        <w:spacing w:after="120"/>
      </w:pPr>
      <w:r>
        <w:rPr>
          <w:sz w:val="22"/>
          <w:szCs w:val="22"/>
        </w:rPr>
        <w:t xml:space="preserve">Request: { question, doc_id }. Response: { answer, citations: [{ page, snippet }] }.</w:t>
      </w:r>
    </w:p>
    <w:p>
      <w:pPr>
        <w:spacing w:after="120"/>
      </w:pPr>
      <w:r>
        <w:rPr>
          <w:sz w:val="22"/>
          <w:szCs w:val="22"/>
        </w:rPr>
        <w:t xml:space="preserve">Full request/response schemas and versioning notes are maintained in docs/api_contract.md in the project repository — that file, not this PRD, is the source of truth during active development.</w:t>
      </w:r>
    </w:p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13. Team and work division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1 responsibility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1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/ API lead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skeleton, Dockerfile, owns API contract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2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Ingestion pipeline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text extraction, chunking, page-metadata tagging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3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Retrieval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ChromaDB, embeddings, hybrid BM25+dense search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4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integration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+ Qwen2.5-7B, answer+citation prompt template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5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/ UI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+ chat UI against the API contract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6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DevOps / integration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Compose, network-egress monitor, demo rehearsal, roadmap status accuracy</w:t>
            </w:r>
          </w:p>
        </w:tc>
      </w:tr>
    </w:tbl>
    <w:p>
      <w:pPr>
        <w:pStyle w:val="Heading1"/>
        <w:pBdr>
          <w:bottom w:val="single" w:color="D9622B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14. Open questions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What is the target GPU/VRAM spec for the demo machine at the finale venue? (engineering — blocking, affects quantization choice)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Will judges expect a live network-disconnected demo, or is a recorded network-monitor log acceptable? (stakeholder — non-blocking)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Is a real PSU/defense contact available for validation feedback before the finals? (team — non-blocking, but high value if resolved)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What is the actual accuracy ceiling for Surya OCR on our specific sample P&amp;ID scans? (engineering — blocking for Phase 2 scoping)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2026-09-13T08:26:58.790Z</dcterms:created>
  <dcterms:modified xsi:type="dcterms:W3CDTF">2026-09-13T08:26:58.798Z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