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4"/>
        </w:rPr>
        <w:t>Deep Convolutional Autoencoders for Multi-Corruption Image Restoration</w:t>
      </w:r>
    </w:p>
    <w:p>
      <w:pPr>
        <w:spacing w:after="480"/>
      </w:pPr>
      <w:r>
        <w:rPr>
          <w:i/>
          <w:color w:val="475569"/>
          <w:sz w:val="28"/>
        </w:rPr>
        <w:t>Gaussian Denoising, Spatial Inpainting, and Latent Bottleneck Dynamics</w:t>
      </w:r>
    </w:p>
    <w:p>
      <w:pPr>
        <w:spacing w:after="360"/>
      </w:pPr>
      <w:r>
        <w:rPr>
          <w:color w:val="CBD5E1"/>
        </w:rPr>
        <w:t>—————————————————————————————————————————————</w:t>
      </w:r>
    </w:p>
    <w:p>
      <w:pPr>
        <w:spacing w:after="480"/>
      </w:pPr>
      <w:r>
        <w:rPr>
          <w:b/>
        </w:rPr>
        <w:t>Lead Author &amp; Research Architect:</w:t>
        <w:br/>
      </w:r>
      <w:r>
        <w:rPr>
          <w:b/>
          <w:color w:val="1E3A8A"/>
          <w:sz w:val="26"/>
        </w:rPr>
        <w:t>Abdul Rehman Rattu</w:t>
        <w:br/>
        <w:br/>
      </w:r>
      <w:r>
        <w:rPr>
          <w:i/>
        </w:rPr>
        <w:t>Forward Deployed AI Engineer &amp; Solutions Architect</w:t>
        <w:br/>
      </w:r>
      <w:r>
        <w:rPr>
          <w:color w:val="475569"/>
        </w:rPr>
        <w:t>Specialization: Deep Learning, Computer Vision &amp; Inverse Image Restoration</w:t>
        <w:br/>
      </w:r>
      <w:r>
        <w:rPr>
          <w:color w:val="64748B"/>
        </w:rPr>
        <w:t>Date of Publication: 2026 | Technical Monograph</w:t>
        <w:br/>
      </w:r>
    </w:p>
    <w:p>
      <w:pPr>
        <w:spacing w:after="480"/>
      </w:pPr>
      <w:r>
        <w:rPr>
          <w:b/>
          <w:color w:val="0F172A"/>
          <w:sz w:val="24"/>
        </w:rPr>
        <w:t>EXECUTIVE SUMMARY</w:t>
        <w:br/>
      </w:r>
      <w:r>
        <w:t>This research investigates the design, hyperparameter optimization, and empirical evaluation of deep convolutional autoencoders across three distinct degradation modalities: additive Gaussian noise denoising (sigma=0.20), blind spatial occlusion inpainting (8x8 pixel dropped patches), and combined multi-corruption restoration on CIFAR-10 benchmark distributions. By enforcing a 64x spatial downsampling bottleneck (32x32 to 4x4x128 latent representation), the architecture learns robust topological projections back onto the natural image manifold. Empirical evaluations demonstrate that the optimized autoencoder achieves 22.08 dB PSNR and 0.885 SSIM on spatial inpainting, 20.91 dB PSNR and 0.842 SSIM on Gaussian denoising, and 19.14 dB PSNR and 0.778 SSIM on combined multi-corruption restoration.</w:t>
      </w:r>
    </w:p>
    <w:p>
      <w:r>
        <w:br w:type="page"/>
      </w:r>
    </w:p>
    <w:p>
      <w:pPr>
        <w:spacing w:before="280" w:after="80"/>
      </w:pPr>
      <w:r>
        <w:rPr>
          <w:b/>
          <w:color w:val="0F172A"/>
          <w:sz w:val="26"/>
        </w:rPr>
        <w:t>1. Introduction and Theoretical Foundations</w:t>
      </w:r>
    </w:p>
    <w:p>
      <w:pPr>
        <w:spacing w:after="200"/>
      </w:pPr>
      <w:r>
        <w:t>Autoencoders are unsupervised neural network architectures trained to reconstruct their input through a constrained latent bottleneck representation. In denoising and inpainting tasks, inputs are corrupted stochastically, forcing the network to learn contractive manifold projections that suppress noise while restoring underlying spatial structures.</w:t>
      </w:r>
    </w:p>
    <w:p>
      <w:pPr>
        <w:spacing w:before="280" w:after="80"/>
      </w:pPr>
      <w:r>
        <w:rPr>
          <w:b/>
          <w:color w:val="0F172A"/>
          <w:sz w:val="26"/>
        </w:rPr>
        <w:t>2. Mathematical Formulation of Corruption Modalities</w:t>
      </w:r>
    </w:p>
    <w:p>
      <w:pPr>
        <w:spacing w:after="200"/>
      </w:pPr>
      <w:r>
        <w:t>Three corruption scenarios are evaluated: (1) Additive Gaussian noise perturbation where x_noisy = clip(x + eta, 0, 1) with eta ~ N(0, sigma^2 I) and sigma = 0.20; (2) Blind spatial occlusion where random 8x8 pixel patches are zeroed out without location guidance; and (3) Combined multi-corruption synthesizing simultaneous Gaussian noise and spatial occlusion.</w:t>
      </w:r>
    </w:p>
    <w:p>
      <w:pPr>
        <w:spacing w:before="280" w:after="80"/>
      </w:pPr>
      <w:r>
        <w:rPr>
          <w:b/>
          <w:color w:val="0F172A"/>
          <w:sz w:val="26"/>
        </w:rPr>
        <w:t>3. Deep Convolutional Architecture and Bottleneck Dynamics</w:t>
      </w:r>
    </w:p>
    <w:p>
      <w:pPr>
        <w:spacing w:after="200"/>
      </w:pPr>
      <w:r>
        <w:t>The model features a contractive encoder: Conv2D(32) -&gt; MaxPool(2x2) -&gt; Conv2D(64) -&gt; MaxPool(2x2) -&gt; Conv2D(128) -&gt; MaxPool(2x2), compressing 32x32x3 (3,072 dimensions) to a 4x4x128 (2,048 dimensions) bottleneck. The generative decoder reconstructs the original dimensions via symmetric UpSampling2D(2x2) and Conv2D layers with a final Sigmoid activation.</w:t>
      </w:r>
    </w:p>
    <w:p>
      <w:pPr>
        <w:spacing w:before="280" w:after="80"/>
      </w:pPr>
      <w:r>
        <w:rPr>
          <w:b/>
          <w:color w:val="0F172A"/>
          <w:sz w:val="26"/>
        </w:rPr>
        <w:t>4. Hyperparameter Optimization &amp; Empirical Tuning</w:t>
      </w:r>
    </w:p>
    <w:p>
      <w:pPr>
        <w:spacing w:after="200"/>
      </w:pPr>
      <w:r>
        <w:t>Hyperparameter optimization using Keras Tuner RandomSearch explored learning rates (1e-4 to 1e-2), initial filter widths (32 to 128), and convolutional depths. An initial capacity of 32 filters paired with learning rate 5e-4 yielded optimal validation loss convergence and preserved edge sharpness without overfitting.</w:t>
      </w:r>
    </w:p>
    <w:p>
      <w:pPr>
        <w:spacing w:before="280" w:after="80"/>
      </w:pPr>
      <w:r>
        <w:rPr>
          <w:b/>
          <w:color w:val="0F172A"/>
          <w:sz w:val="26"/>
        </w:rPr>
        <w:t>5. Quantitative Benchmark Results</w:t>
      </w:r>
    </w:p>
    <w:p>
      <w:pPr>
        <w:spacing w:after="200"/>
      </w:pPr>
      <w:r>
        <w:t>Quantitative performance was benchmarked across Mean Squared Error (MSE), Peak Signal-to-Noise Ratio (PSNR in dB), and Structural Similarity Index (SSIM). Spatial inpainting achieved the strongest fidelity (22.08 dB PSNR, 0.885 SSIM, MSE 0.0062), followed by Gaussian denoising (20.91 dB PSNR, 0.842 SSIM, MSE 0.0081), and combined restoration (19.14 dB PSNR, 0.778 SSIM, MSE 0.0122).</w:t>
      </w:r>
    </w:p>
    <w:p>
      <w:pPr>
        <w:spacing w:before="280" w:after="80"/>
      </w:pPr>
      <w:r>
        <w:rPr>
          <w:b/>
          <w:color w:val="0F172A"/>
          <w:sz w:val="26"/>
        </w:rPr>
        <w:t>6. Conclusion &amp; Architectural Insights</w:t>
      </w:r>
    </w:p>
    <w:p>
      <w:pPr>
        <w:spacing w:after="200"/>
      </w:pPr>
      <w:r>
        <w:t>Convolutional autoencoders with spatial downsampling bottlenecks effectively reconstruct high-frequency semantic features. Inpainting outperforms denoising because localized occlusions leave 93.75% of surrounding context intact, whereas Gaussian noise corrupts 100% of spatial pixels.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