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D0AD2" w:rsidR="00B97A2E" w:rsidRDefault="00BE62B7" w14:paraId="1B64DC98" w14:textId="6C331A5A">
      <w:pPr>
        <w:rPr>
          <w:b/>
          <w:bCs/>
          <w:u w:val="single"/>
        </w:rPr>
      </w:pPr>
      <w:r w:rsidRPr="003D0AD2">
        <w:rPr>
          <w:b/>
          <w:bCs/>
          <w:u w:val="single"/>
        </w:rPr>
        <w:t xml:space="preserve">Top Ambulatory Care Disease States: </w:t>
      </w:r>
    </w:p>
    <w:p w:rsidRPr="007A6AE4" w:rsidR="00BE62B7" w:rsidP="00BE62B7" w:rsidRDefault="00BE62B7" w14:paraId="71A5577B" w14:textId="12477B48">
      <w:pPr>
        <w:pStyle w:val="ListParagraph"/>
        <w:numPr>
          <w:ilvl w:val="0"/>
          <w:numId w:val="1"/>
        </w:numPr>
        <w:rPr>
          <w:b/>
          <w:bCs/>
        </w:rPr>
      </w:pPr>
      <w:commentRangeStart w:id="0"/>
      <w:r w:rsidRPr="007A6AE4">
        <w:rPr>
          <w:b/>
          <w:bCs/>
        </w:rPr>
        <w:t>Hypertension</w:t>
      </w:r>
      <w:commentRangeEnd w:id="0"/>
      <w:r w:rsidRPr="007A6AE4" w:rsidR="00CA5B74">
        <w:rPr>
          <w:rStyle w:val="CommentReference"/>
          <w:b/>
          <w:bCs/>
          <w:sz w:val="24"/>
          <w:szCs w:val="24"/>
        </w:rPr>
        <w:commentReference w:id="0"/>
      </w:r>
    </w:p>
    <w:p w:rsidR="000062B8" w:rsidP="007A3C32" w:rsidRDefault="000062B8" w14:paraId="38E9778D" w14:textId="77777777">
      <w:pPr>
        <w:pStyle w:val="ListParagraph"/>
        <w:numPr>
          <w:ilvl w:val="1"/>
          <w:numId w:val="1"/>
        </w:numPr>
      </w:pPr>
      <w:r w:rsidRPr="000062B8">
        <w:t>2025 ACC/AHA Guideline for the Management of Elevated Blood Pressure and Hypertension</w:t>
      </w:r>
    </w:p>
    <w:p w:rsidRPr="0009399C" w:rsidR="00E15F8E" w:rsidP="00011B83" w:rsidRDefault="00E15F8E" w14:paraId="12E82EDB" w14:textId="236DE32B">
      <w:pPr>
        <w:pStyle w:val="ListParagraph"/>
        <w:numPr>
          <w:ilvl w:val="2"/>
          <w:numId w:val="1"/>
        </w:numPr>
      </w:pPr>
      <w:r w:rsidRPr="00E15F8E">
        <w:rPr>
          <w:rFonts w:eastAsia="Times New Roman" w:cs="Times New Roman"/>
          <w:kern w:val="0"/>
          <w14:ligatures w14:val="none"/>
        </w:rPr>
        <w:t>American Heart Association, American College of Cardiology. 2025 ACC/AHA guideline for the management of elevated blood pressure and hypertension. Circulation. 2025. doi:10.1161/CIR.0000000000001356</w:t>
      </w:r>
    </w:p>
    <w:p w:rsidRPr="00E15F8E" w:rsidR="00DA152F" w:rsidP="001B3612" w:rsidRDefault="00DA152F" w14:paraId="444DFE76" w14:textId="38B6BE95">
      <w:pPr>
        <w:pStyle w:val="ListParagraph"/>
        <w:numPr>
          <w:ilvl w:val="2"/>
          <w:numId w:val="1"/>
        </w:numPr>
      </w:pPr>
      <w:hyperlink w:history="1" r:id="rId14">
        <w:r w:rsidRPr="00F4380C">
          <w:rPr>
            <w:rStyle w:val="Hyperlink"/>
          </w:rPr>
          <w:t>https://www.ahajournals.org/doi/10.1161/CIR.0000000000001356</w:t>
        </w:r>
      </w:hyperlink>
    </w:p>
    <w:p w:rsidRPr="007A6AE4" w:rsidR="00BE62B7" w:rsidP="00E15F8E" w:rsidRDefault="00BE62B7" w14:paraId="53DF57E3" w14:textId="02A32F91">
      <w:pPr>
        <w:numPr>
          <w:ilvl w:val="0"/>
          <w:numId w:val="1"/>
        </w:numPr>
        <w:spacing w:before="100" w:beforeAutospacing="1" w:after="100" w:afterAutospacing="1" w:line="240" w:lineRule="auto"/>
        <w:rPr>
          <w:rFonts w:eastAsia="Times New Roman" w:cs="Times New Roman"/>
          <w:b/>
          <w:bCs/>
          <w:kern w:val="0"/>
          <w14:ligatures w14:val="none"/>
        </w:rPr>
      </w:pPr>
      <w:commentRangeStart w:id="1"/>
      <w:r w:rsidRPr="007A6AE4">
        <w:rPr>
          <w:b/>
          <w:bCs/>
        </w:rPr>
        <w:t xml:space="preserve">T2DM </w:t>
      </w:r>
      <w:commentRangeEnd w:id="1"/>
      <w:r w:rsidRPr="007A6AE4" w:rsidR="00974A47">
        <w:rPr>
          <w:rStyle w:val="CommentReference"/>
          <w:rFonts w:eastAsia="Times New Roman" w:cs="Times New Roman"/>
          <w:b/>
          <w:bCs/>
          <w:kern w:val="0"/>
          <w:sz w:val="24"/>
          <w:szCs w:val="24"/>
          <w14:ligatures w14:val="none"/>
        </w:rPr>
        <w:commentReference w:id="1"/>
      </w:r>
    </w:p>
    <w:p w:rsidR="00B41CF8" w:rsidP="00B41CF8" w:rsidRDefault="00131347" w14:paraId="40F867CA" w14:textId="1A2365C3">
      <w:pPr>
        <w:pStyle w:val="ListParagraph"/>
        <w:numPr>
          <w:ilvl w:val="1"/>
          <w:numId w:val="1"/>
        </w:numPr>
      </w:pPr>
      <w:r>
        <w:t xml:space="preserve">2026 </w:t>
      </w:r>
      <w:r w:rsidR="009446B0">
        <w:t xml:space="preserve">ADA </w:t>
      </w:r>
      <w:r>
        <w:t>Standards of Care in Diabetes</w:t>
      </w:r>
    </w:p>
    <w:p w:rsidR="009446B0" w:rsidP="00011B83" w:rsidRDefault="009446B0" w14:paraId="35F05001" w14:textId="271AE6FB">
      <w:pPr>
        <w:pStyle w:val="ListParagraph"/>
        <w:numPr>
          <w:ilvl w:val="2"/>
          <w:numId w:val="1"/>
        </w:numPr>
      </w:pPr>
      <w:r w:rsidRPr="009446B0">
        <w:t>American Diabetes Association Professional Practice Committee. Standards of care in diabetes—2026. Diabetes Care. 2026;49(Suppl 1).</w:t>
      </w:r>
    </w:p>
    <w:p w:rsidR="009B2C7F" w:rsidP="009B2C7F" w:rsidRDefault="009B2C7F" w14:paraId="39A753C5" w14:textId="6FDF7B0E">
      <w:pPr>
        <w:pStyle w:val="ListParagraph"/>
        <w:numPr>
          <w:ilvl w:val="2"/>
          <w:numId w:val="1"/>
        </w:numPr>
      </w:pPr>
      <w:hyperlink w:history="1" r:id="rId15">
        <w:r w:rsidRPr="00F4380C">
          <w:rPr>
            <w:rStyle w:val="Hyperlink"/>
          </w:rPr>
          <w:t>https://professional.diabetes.org/standards-of-care</w:t>
        </w:r>
      </w:hyperlink>
    </w:p>
    <w:p w:rsidRPr="007A6AE4" w:rsidR="00AB3742" w:rsidP="00AB3742" w:rsidRDefault="00D94EB3" w14:paraId="377CEA09" w14:textId="77777777">
      <w:pPr>
        <w:pStyle w:val="ListParagraph"/>
        <w:numPr>
          <w:ilvl w:val="0"/>
          <w:numId w:val="1"/>
        </w:numPr>
        <w:rPr>
          <w:b/>
          <w:bCs/>
        </w:rPr>
      </w:pPr>
      <w:commentRangeStart w:id="2"/>
      <w:r w:rsidRPr="007A6AE4">
        <w:rPr>
          <w:b/>
          <w:bCs/>
        </w:rPr>
        <w:t>Hyperlipidemia</w:t>
      </w:r>
      <w:commentRangeEnd w:id="2"/>
      <w:r w:rsidRPr="007A6AE4" w:rsidR="00974A47">
        <w:rPr>
          <w:rStyle w:val="CommentReference"/>
          <w:b/>
          <w:bCs/>
          <w:sz w:val="24"/>
          <w:szCs w:val="24"/>
        </w:rPr>
        <w:commentReference w:id="2"/>
      </w:r>
    </w:p>
    <w:p w:rsidR="00F26726" w:rsidP="00011B83" w:rsidRDefault="005859F2" w14:paraId="5A441D7D" w14:textId="758B6B5C">
      <w:pPr>
        <w:pStyle w:val="ListParagraph"/>
        <w:numPr>
          <w:ilvl w:val="1"/>
          <w:numId w:val="1"/>
        </w:numPr>
      </w:pPr>
      <w:r>
        <w:t xml:space="preserve">2026 </w:t>
      </w:r>
      <w:r w:rsidR="008E5F5A">
        <w:t>A</w:t>
      </w:r>
      <w:r w:rsidR="009446B0">
        <w:t>CC/AHA</w:t>
      </w:r>
      <w:r w:rsidR="008E5F5A">
        <w:t xml:space="preserve"> </w:t>
      </w:r>
      <w:r w:rsidRPr="00824B8A" w:rsidR="00824B8A">
        <w:t>Guideline for the Management of Blood Cholesterol and ASCVD Prevention</w:t>
      </w:r>
    </w:p>
    <w:p w:rsidR="00824B8A" w:rsidP="00011B83" w:rsidRDefault="00824B8A" w14:paraId="7E954BA2" w14:textId="3432617A">
      <w:pPr>
        <w:pStyle w:val="ListParagraph"/>
        <w:numPr>
          <w:ilvl w:val="2"/>
          <w:numId w:val="1"/>
        </w:numPr>
      </w:pPr>
      <w:r w:rsidRPr="00824B8A">
        <w:t>American Heart Association, American College of Cardiology. 2026 ACC/AHA guideline for management of dyslipidemia and ASCVD prevention. Circulation. 2026. doi:10.1161/CIR.0000000000001423</w:t>
      </w:r>
    </w:p>
    <w:p w:rsidR="00D06596" w:rsidP="00D06596" w:rsidRDefault="00D06596" w14:paraId="619AAE2C" w14:textId="652C9412">
      <w:pPr>
        <w:pStyle w:val="ListParagraph"/>
        <w:numPr>
          <w:ilvl w:val="2"/>
          <w:numId w:val="1"/>
        </w:numPr>
      </w:pPr>
      <w:hyperlink w:history="1" r:id="rId16">
        <w:r w:rsidRPr="00F4380C">
          <w:rPr>
            <w:rStyle w:val="Hyperlink"/>
          </w:rPr>
          <w:t>https://www.ahajournals.org/doi/10.1161/CIR.0000000000001423</w:t>
        </w:r>
      </w:hyperlink>
    </w:p>
    <w:p w:rsidRPr="007A6AE4" w:rsidR="00F21A07" w:rsidP="002679FF" w:rsidRDefault="00F21A07" w14:paraId="0A0D740C" w14:textId="363018FD">
      <w:pPr>
        <w:pStyle w:val="ListParagraph"/>
        <w:numPr>
          <w:ilvl w:val="0"/>
          <w:numId w:val="1"/>
        </w:numPr>
        <w:rPr>
          <w:b/>
          <w:bCs/>
        </w:rPr>
      </w:pPr>
      <w:commentRangeStart w:id="3"/>
      <w:r w:rsidRPr="007A6AE4">
        <w:rPr>
          <w:b/>
          <w:bCs/>
        </w:rPr>
        <w:t>CKD</w:t>
      </w:r>
      <w:commentRangeEnd w:id="3"/>
      <w:r w:rsidRPr="007A6AE4" w:rsidR="00914464">
        <w:rPr>
          <w:rStyle w:val="CommentReference"/>
          <w:b/>
          <w:bCs/>
          <w:sz w:val="24"/>
          <w:szCs w:val="24"/>
        </w:rPr>
        <w:commentReference w:id="3"/>
      </w:r>
    </w:p>
    <w:p w:rsidR="00562527" w:rsidP="00011B83" w:rsidRDefault="00892BF8" w14:paraId="47343461" w14:textId="71A8C003">
      <w:pPr>
        <w:pStyle w:val="ListParagraph"/>
        <w:numPr>
          <w:ilvl w:val="1"/>
          <w:numId w:val="1"/>
        </w:numPr>
      </w:pPr>
      <w:r>
        <w:t xml:space="preserve">2024 </w:t>
      </w:r>
      <w:r w:rsidR="00255CFB">
        <w:t>KDIGO</w:t>
      </w:r>
      <w:r>
        <w:t xml:space="preserve"> </w:t>
      </w:r>
      <w:r w:rsidRPr="00B63DD4" w:rsidR="00B63DD4">
        <w:t>Clinical Practice Guideline for Chronic Kidney Disease</w:t>
      </w:r>
    </w:p>
    <w:p w:rsidR="00D06596" w:rsidP="00011B83" w:rsidRDefault="00D06596" w14:paraId="083FB7B3" w14:textId="725D8AC5">
      <w:pPr>
        <w:pStyle w:val="ListParagraph"/>
        <w:numPr>
          <w:ilvl w:val="2"/>
          <w:numId w:val="1"/>
        </w:numPr>
        <w:rPr/>
      </w:pPr>
      <w:r w:rsidR="00B63DD4">
        <w:rPr/>
        <w:t>Kidney Disease: Improving Global Outcomes (KDIGO) CKD Work Group. KDIGO 2024 clinical practice guideline for the evaluation and management of chronic kidney disease. Kidney Int. 2024;105(4S).</w:t>
      </w:r>
    </w:p>
    <w:p w:rsidR="1D2DED31" w:rsidP="6AEF2A5D" w:rsidRDefault="1D2DED31" w14:paraId="668423BE" w14:textId="5C38536C">
      <w:pPr>
        <w:pStyle w:val="ListParagraph"/>
        <w:numPr>
          <w:ilvl w:val="2"/>
          <w:numId w:val="1"/>
        </w:numPr>
        <w:rPr>
          <w:sz w:val="24"/>
          <w:szCs w:val="24"/>
        </w:rPr>
      </w:pPr>
      <w:hyperlink r:id="Rb6ba70007fb9404c">
        <w:r w:rsidRPr="6AEF2A5D" w:rsidR="1D2DED31">
          <w:rPr>
            <w:rStyle w:val="Hyperlink"/>
          </w:rPr>
          <w:t>https://kdigo.org/guidelines/ckd-evaluation-and-management</w:t>
        </w:r>
      </w:hyperlink>
    </w:p>
    <w:p w:rsidR="1D2DED31" w:rsidP="6AEF2A5D" w:rsidRDefault="1D2DED31" w14:paraId="403C42B6" w14:textId="4F742C12">
      <w:pPr>
        <w:pStyle w:val="ListParagraph"/>
        <w:numPr>
          <w:ilvl w:val="2"/>
          <w:numId w:val="1"/>
        </w:numPr>
        <w:rPr>
          <w:sz w:val="24"/>
          <w:szCs w:val="24"/>
        </w:rPr>
      </w:pPr>
      <w:hyperlink r:id="R4a26a9c3c0204195">
        <w:r w:rsidRPr="6AEF2A5D" w:rsidR="1D2DED31">
          <w:rPr>
            <w:rStyle w:val="Hyperlink"/>
          </w:rPr>
          <w:t>https://kdigo.org/wp-content/uploads/2024/03/KDIGO-2024-CKD-Guideline.pdf</w:t>
        </w:r>
      </w:hyperlink>
    </w:p>
    <w:p w:rsidRPr="007A6AE4" w:rsidR="00562527" w:rsidP="00562527" w:rsidRDefault="00255CFB" w14:paraId="088BEBCD" w14:textId="77777777">
      <w:pPr>
        <w:pStyle w:val="ListParagraph"/>
        <w:numPr>
          <w:ilvl w:val="0"/>
          <w:numId w:val="1"/>
        </w:numPr>
        <w:rPr>
          <w:b/>
          <w:bCs/>
        </w:rPr>
      </w:pPr>
      <w:r>
        <w:t xml:space="preserve"> </w:t>
      </w:r>
      <w:r w:rsidRPr="007A6AE4" w:rsidR="00B80554">
        <w:rPr>
          <w:b/>
          <w:bCs/>
        </w:rPr>
        <w:t>Asthma</w:t>
      </w:r>
    </w:p>
    <w:p w:rsidR="00B17A07" w:rsidP="00562527" w:rsidRDefault="00B17A07" w14:paraId="438EBE51" w14:textId="245F0183">
      <w:pPr>
        <w:pStyle w:val="ListParagraph"/>
        <w:numPr>
          <w:ilvl w:val="1"/>
          <w:numId w:val="1"/>
        </w:numPr>
      </w:pPr>
      <w:r>
        <w:t xml:space="preserve">2026 </w:t>
      </w:r>
      <w:r w:rsidRPr="00035A01" w:rsidR="00035A01">
        <w:t>Global Initiative for Asthma (GINA)</w:t>
      </w:r>
    </w:p>
    <w:p w:rsidR="00E9482B" w:rsidP="00011B83" w:rsidRDefault="00E9482B" w14:paraId="5B22A340" w14:textId="3B4CBB24">
      <w:pPr>
        <w:pStyle w:val="ListParagraph"/>
        <w:numPr>
          <w:ilvl w:val="2"/>
          <w:numId w:val="1"/>
        </w:numPr>
        <w:rPr/>
      </w:pPr>
      <w:r w:rsidR="00E9482B">
        <w:rPr/>
        <w:t>Global Initiative for Asthma. Global strategy for asthma management and prevention. Updated 2026.</w:t>
      </w:r>
    </w:p>
    <w:p w:rsidRPr="007A6AE4" w:rsidR="00B80554" w:rsidP="00822BC7" w:rsidRDefault="00B80554" w14:paraId="59DCFF89" w14:textId="43229C16">
      <w:pPr>
        <w:pStyle w:val="ListParagraph"/>
        <w:numPr>
          <w:ilvl w:val="0"/>
          <w:numId w:val="1"/>
        </w:numPr>
        <w:rPr>
          <w:b/>
          <w:bCs/>
        </w:rPr>
      </w:pPr>
      <w:r>
        <w:t xml:space="preserve"> </w:t>
      </w:r>
      <w:r w:rsidRPr="007A6AE4">
        <w:rPr>
          <w:b/>
          <w:bCs/>
        </w:rPr>
        <w:t>COPD</w:t>
      </w:r>
    </w:p>
    <w:p w:rsidR="00545E6C" w:rsidP="004D7106" w:rsidRDefault="00E9482B" w14:paraId="7B675A59" w14:textId="5044F44B">
      <w:pPr>
        <w:pStyle w:val="ListParagraph"/>
        <w:numPr>
          <w:ilvl w:val="1"/>
          <w:numId w:val="1"/>
        </w:numPr>
      </w:pPr>
      <w:r w:rsidRPr="00E9482B">
        <w:t>2026 Global Initiative for Chronic Obstructive Lung Disease (GOLD)</w:t>
      </w:r>
    </w:p>
    <w:p w:rsidR="00223FA7" w:rsidP="00011B83" w:rsidRDefault="00223FA7" w14:paraId="2E0D52FA" w14:textId="7356B3BF">
      <w:pPr>
        <w:pStyle w:val="ListParagraph"/>
        <w:numPr>
          <w:ilvl w:val="2"/>
          <w:numId w:val="1"/>
        </w:numPr>
      </w:pPr>
      <w:r w:rsidRPr="00223FA7">
        <w:lastRenderedPageBreak/>
        <w:t>Global Initiative for Chronic Obstructive Lung Disease. Global strategy for prevention, diagnosis and management of COPD: 2026 report.</w:t>
      </w:r>
    </w:p>
    <w:p w:rsidR="00D01EF2" w:rsidP="00011B83" w:rsidRDefault="00D01EF2" w14:paraId="700D2525" w14:textId="26B61F4E">
      <w:pPr>
        <w:pStyle w:val="ListParagraph"/>
        <w:numPr>
          <w:ilvl w:val="2"/>
          <w:numId w:val="1"/>
        </w:numPr>
      </w:pPr>
      <w:hyperlink w:history="1" r:id="rId19">
        <w:r w:rsidRPr="00F4380C">
          <w:rPr>
            <w:rStyle w:val="Hyperlink"/>
          </w:rPr>
          <w:t>https://goldcopd.org/2026-gold-report-and-pocket-guide</w:t>
        </w:r>
      </w:hyperlink>
    </w:p>
    <w:p w:rsidR="00D01EF2" w:rsidP="00D01EF2" w:rsidRDefault="00D01EF2" w14:paraId="41BCD926" w14:textId="4BB8B5E0">
      <w:pPr>
        <w:pStyle w:val="ListParagraph"/>
        <w:numPr>
          <w:ilvl w:val="2"/>
          <w:numId w:val="1"/>
        </w:numPr>
      </w:pPr>
      <w:hyperlink w:history="1" r:id="rId20">
        <w:r w:rsidRPr="00F4380C">
          <w:rPr>
            <w:rStyle w:val="Hyperlink"/>
          </w:rPr>
          <w:t>https://goldcopd.org/wp-content/uploads/2026/01/GOLD-REPORT-2026-v1.3-8Dec2025_WMV2.pdf</w:t>
        </w:r>
      </w:hyperlink>
    </w:p>
    <w:p w:rsidRPr="007A6AE4" w:rsidR="00B80554" w:rsidP="0027230E" w:rsidRDefault="00B80554" w14:paraId="5A7DE2D3" w14:textId="4BEB3D0F">
      <w:pPr>
        <w:pStyle w:val="ListParagraph"/>
        <w:numPr>
          <w:ilvl w:val="0"/>
          <w:numId w:val="1"/>
        </w:numPr>
        <w:rPr>
          <w:b/>
          <w:bCs/>
        </w:rPr>
      </w:pPr>
      <w:commentRangeStart w:id="4"/>
      <w:r w:rsidRPr="007A6AE4">
        <w:rPr>
          <w:b/>
          <w:bCs/>
        </w:rPr>
        <w:t>Heart Failure</w:t>
      </w:r>
      <w:commentRangeEnd w:id="4"/>
      <w:r w:rsidRPr="007A6AE4" w:rsidR="00722E8A">
        <w:rPr>
          <w:rStyle w:val="CommentReference"/>
          <w:b/>
          <w:bCs/>
          <w:sz w:val="24"/>
          <w:szCs w:val="24"/>
        </w:rPr>
        <w:commentReference w:id="4"/>
      </w:r>
    </w:p>
    <w:p w:rsidR="00883B81" w:rsidP="007C784B" w:rsidRDefault="00F15ABF" w14:paraId="4083CF5A" w14:textId="6D6C5DF3">
      <w:pPr>
        <w:pStyle w:val="ListParagraph"/>
        <w:numPr>
          <w:ilvl w:val="1"/>
          <w:numId w:val="1"/>
        </w:numPr>
      </w:pPr>
      <w:r w:rsidRPr="00F15ABF">
        <w:t>2022 AHA/ACC/HFSA Guideline for the Management of Heart Failure</w:t>
      </w:r>
    </w:p>
    <w:p w:rsidR="00F15ABF" w:rsidP="00011B83" w:rsidRDefault="00F15ABF" w14:paraId="407F285C" w14:textId="0B9443C8">
      <w:pPr>
        <w:pStyle w:val="ListParagraph"/>
        <w:numPr>
          <w:ilvl w:val="2"/>
          <w:numId w:val="1"/>
        </w:numPr>
      </w:pPr>
      <w:r w:rsidRPr="00F15ABF">
        <w:t>Heidenreich PA, Bozkurt B, Aguilar D, et al. 2022 AHA/ACC/HFSA guideline for the management of heart failure. J Am Coll Cardiol. 2022;79(17).</w:t>
      </w:r>
    </w:p>
    <w:p w:rsidR="00D01EF2" w:rsidP="00D01EF2" w:rsidRDefault="00D01EF2" w14:paraId="2FE36AA5" w14:textId="0F7BE977">
      <w:pPr>
        <w:pStyle w:val="ListParagraph"/>
        <w:numPr>
          <w:ilvl w:val="2"/>
          <w:numId w:val="1"/>
        </w:numPr>
      </w:pPr>
      <w:hyperlink w:history="1" r:id="rId21">
        <w:r w:rsidRPr="00F4380C">
          <w:rPr>
            <w:rStyle w:val="Hyperlink"/>
          </w:rPr>
          <w:t>https://www.jacc.org/doi/10.1016/j.jacc.2021.12.012</w:t>
        </w:r>
      </w:hyperlink>
    </w:p>
    <w:p w:rsidRPr="007A6AE4" w:rsidR="00AF1125" w:rsidP="009977A6" w:rsidRDefault="00B80554" w14:paraId="6546932A" w14:textId="3319C26C">
      <w:pPr>
        <w:pStyle w:val="ListParagraph"/>
        <w:numPr>
          <w:ilvl w:val="0"/>
          <w:numId w:val="1"/>
        </w:numPr>
        <w:rPr>
          <w:b/>
          <w:bCs/>
        </w:rPr>
      </w:pPr>
      <w:r w:rsidRPr="007A6AE4">
        <w:rPr>
          <w:b/>
          <w:bCs/>
        </w:rPr>
        <w:t>A</w:t>
      </w:r>
      <w:r w:rsidRPr="007A6AE4" w:rsidR="008F320A">
        <w:rPr>
          <w:b/>
          <w:bCs/>
        </w:rPr>
        <w:t>nticoagulation (Afib/VTE)</w:t>
      </w:r>
    </w:p>
    <w:p w:rsidR="006F4089" w:rsidP="006F4089" w:rsidRDefault="006F4089" w14:paraId="1A66CBDA" w14:textId="77777777">
      <w:pPr>
        <w:pStyle w:val="ListParagraph"/>
        <w:numPr>
          <w:ilvl w:val="1"/>
          <w:numId w:val="1"/>
        </w:numPr>
      </w:pPr>
      <w:r w:rsidRPr="006F4089">
        <w:t>2023 ACC/AHA/ACCP/HRS Guideline for the Diagnosis and Management of Atrial Fibrillation</w:t>
      </w:r>
    </w:p>
    <w:p w:rsidR="00915467" w:rsidP="006F4089" w:rsidRDefault="008F320A" w14:paraId="78166FB3" w14:textId="54F5DF6E">
      <w:pPr>
        <w:pStyle w:val="ListParagraph"/>
        <w:numPr>
          <w:ilvl w:val="2"/>
          <w:numId w:val="1"/>
        </w:numPr>
      </w:pPr>
      <w:r w:rsidRPr="008F320A">
        <w:t>Joglar JA, Chung MK, Armbruster AL, et al. 2023 ACC/AHA/ACCP/HRS guideline for the diagnosis and management of atrial fibrillation. Circulation. 2024;149.</w:t>
      </w:r>
    </w:p>
    <w:p w:rsidR="00D01EF2" w:rsidP="00D01EF2" w:rsidRDefault="00D01EF2" w14:paraId="46C663B6" w14:textId="4CB02A98">
      <w:pPr>
        <w:pStyle w:val="ListParagraph"/>
        <w:numPr>
          <w:ilvl w:val="2"/>
          <w:numId w:val="1"/>
        </w:numPr>
      </w:pPr>
      <w:hyperlink w:history="1" r:id="rId22">
        <w:r w:rsidRPr="00F4380C">
          <w:rPr>
            <w:rStyle w:val="Hyperlink"/>
          </w:rPr>
          <w:t>https://www.ahajournals.org/doi/10.1161/CIR.0000000000001193</w:t>
        </w:r>
      </w:hyperlink>
    </w:p>
    <w:p w:rsidR="00EE50E7" w:rsidP="007C784B" w:rsidRDefault="00E6077D" w14:paraId="56B6F336" w14:textId="0F5B1636">
      <w:pPr>
        <w:pStyle w:val="ListParagraph"/>
        <w:numPr>
          <w:ilvl w:val="1"/>
          <w:numId w:val="1"/>
        </w:numPr>
      </w:pPr>
      <w:r>
        <w:t>202</w:t>
      </w:r>
      <w:r w:rsidR="004C749B">
        <w:t>1 CHEST</w:t>
      </w:r>
      <w:r w:rsidR="008320C5">
        <w:t xml:space="preserve"> </w:t>
      </w:r>
      <w:r w:rsidR="004C749B">
        <w:t>gu</w:t>
      </w:r>
      <w:r w:rsidR="008320C5">
        <w:t>ideline</w:t>
      </w:r>
      <w:r w:rsidR="00E1568D">
        <w:t xml:space="preserve"> and Expert Panel Report </w:t>
      </w:r>
      <w:r w:rsidR="003210C6">
        <w:t xml:space="preserve">for VTE </w:t>
      </w:r>
    </w:p>
    <w:p w:rsidR="003A07ED" w:rsidP="00C2041B" w:rsidRDefault="003A07ED" w14:paraId="050FF9EF" w14:textId="07B14F1F">
      <w:pPr>
        <w:pStyle w:val="ListParagraph"/>
        <w:numPr>
          <w:ilvl w:val="2"/>
          <w:numId w:val="1"/>
        </w:numPr>
      </w:pPr>
      <w:r w:rsidRPr="003A07ED">
        <w:t>Stevens SM, Woller SC, Kreuziger LB, et al. Antithrombotic therapy for VTE disease: second update of the CHEST guideline and expert panel report. Chest. 2021;160(6).</w:t>
      </w:r>
    </w:p>
    <w:p w:rsidR="00D01EF2" w:rsidP="00D01EF2" w:rsidRDefault="00D01EF2" w14:paraId="04175F8E" w14:textId="34B186B0">
      <w:pPr>
        <w:pStyle w:val="ListParagraph"/>
        <w:numPr>
          <w:ilvl w:val="2"/>
          <w:numId w:val="1"/>
        </w:numPr>
      </w:pPr>
      <w:hyperlink w:history="1" r:id="rId23">
        <w:r w:rsidRPr="00F4380C">
          <w:rPr>
            <w:rStyle w:val="Hyperlink"/>
          </w:rPr>
          <w:t>https://journal.chestnet.org/article/S0012-3692(21)01506-3/fulltext</w:t>
        </w:r>
      </w:hyperlink>
    </w:p>
    <w:p w:rsidRPr="007A6AE4" w:rsidR="00B2440A" w:rsidP="00E31CF4" w:rsidRDefault="00E31CF4" w14:paraId="713696C7" w14:textId="2382B170">
      <w:pPr>
        <w:pStyle w:val="ListParagraph"/>
        <w:numPr>
          <w:ilvl w:val="0"/>
          <w:numId w:val="1"/>
        </w:numPr>
        <w:rPr>
          <w:b/>
          <w:bCs/>
        </w:rPr>
      </w:pPr>
      <w:r w:rsidRPr="007A6AE4">
        <w:rPr>
          <w:b/>
          <w:bCs/>
        </w:rPr>
        <w:t>Depression</w:t>
      </w:r>
      <w:r w:rsidRPr="007A6AE4" w:rsidR="003A25B1">
        <w:rPr>
          <w:b/>
          <w:bCs/>
        </w:rPr>
        <w:t xml:space="preserve"> + Anxiety </w:t>
      </w:r>
    </w:p>
    <w:p w:rsidR="00D605F2" w:rsidP="007C784B" w:rsidRDefault="000B0F73" w14:paraId="32178749" w14:textId="171891FB">
      <w:pPr>
        <w:pStyle w:val="ListParagraph"/>
        <w:numPr>
          <w:ilvl w:val="1"/>
          <w:numId w:val="1"/>
        </w:numPr>
      </w:pPr>
      <w:r w:rsidRPr="000B0F73">
        <w:t>ACP Living Clinical Guideline for Adult Depression</w:t>
      </w:r>
    </w:p>
    <w:p w:rsidR="003A25B1" w:rsidP="004F76DF" w:rsidRDefault="003210C6" w14:paraId="15494F19" w14:textId="77777777">
      <w:pPr>
        <w:pStyle w:val="ListParagraph"/>
        <w:numPr>
          <w:ilvl w:val="2"/>
          <w:numId w:val="1"/>
        </w:numPr>
      </w:pPr>
      <w:r w:rsidRPr="003210C6">
        <w:t>Qaseem A, Barry MJ, Kansagara D. Nonpharmacologic and pharmacologic treatments of adults with major depressive disorder: a living clinical guideline from the American College of Physicians. Ann Intern Med. 2023;176(2):239-252.</w:t>
      </w:r>
    </w:p>
    <w:p w:rsidR="00D01EF2" w:rsidP="00D01EF2" w:rsidRDefault="00D01EF2" w14:paraId="23FA380F" w14:textId="772DF57E">
      <w:pPr>
        <w:pStyle w:val="ListParagraph"/>
        <w:numPr>
          <w:ilvl w:val="2"/>
          <w:numId w:val="1"/>
        </w:numPr>
      </w:pPr>
      <w:hyperlink w:history="1" r:id="rId24">
        <w:r w:rsidRPr="00F4380C">
          <w:rPr>
            <w:rStyle w:val="Hyperlink"/>
          </w:rPr>
          <w:t>https://www.acpjournals.org/doi/full/10.7326/M22-2056</w:t>
        </w:r>
      </w:hyperlink>
    </w:p>
    <w:p w:rsidR="00854AA1" w:rsidP="003A25B1" w:rsidRDefault="00854AA1" w14:paraId="70BF0914" w14:textId="326ED935">
      <w:pPr>
        <w:pStyle w:val="ListParagraph"/>
        <w:numPr>
          <w:ilvl w:val="1"/>
          <w:numId w:val="1"/>
        </w:numPr>
      </w:pPr>
      <w:r w:rsidRPr="00854AA1">
        <w:t>USPSTF Screening Recommendation</w:t>
      </w:r>
    </w:p>
    <w:p w:rsidR="00084B6F" w:rsidP="004F76DF" w:rsidRDefault="00084B6F" w14:paraId="5778CE23" w14:textId="638EBF92">
      <w:pPr>
        <w:pStyle w:val="ListParagraph"/>
        <w:numPr>
          <w:ilvl w:val="2"/>
          <w:numId w:val="1"/>
        </w:numPr>
      </w:pPr>
      <w:r w:rsidRPr="00084B6F">
        <w:t>US Preventive Services Task Force. Screening for anxiety disorders in adults: US Preventive Services Task Force recommendation statement. JAMA. 2023;329(24):2164-2170.</w:t>
      </w:r>
    </w:p>
    <w:p w:rsidR="00D01EF2" w:rsidP="00D01EF2" w:rsidRDefault="00D01EF2" w14:paraId="443D50FE" w14:textId="099008E2">
      <w:pPr>
        <w:pStyle w:val="ListParagraph"/>
        <w:numPr>
          <w:ilvl w:val="2"/>
          <w:numId w:val="1"/>
        </w:numPr>
      </w:pPr>
      <w:hyperlink w:history="1" r:id="rId25">
        <w:r w:rsidRPr="00F4380C">
          <w:rPr>
            <w:rStyle w:val="Hyperlink"/>
          </w:rPr>
          <w:t>https://jamanetwork.com/journals/jama/fullarticle/2806251</w:t>
        </w:r>
      </w:hyperlink>
    </w:p>
    <w:p w:rsidRPr="007A6AE4" w:rsidR="00E31CF4" w:rsidP="00315932" w:rsidRDefault="00931518" w14:paraId="60525A22" w14:textId="6FADC08D">
      <w:pPr>
        <w:pStyle w:val="ListParagraph"/>
        <w:numPr>
          <w:ilvl w:val="0"/>
          <w:numId w:val="1"/>
        </w:numPr>
        <w:rPr>
          <w:b/>
          <w:bCs/>
        </w:rPr>
      </w:pPr>
      <w:r w:rsidRPr="007A6AE4">
        <w:rPr>
          <w:b/>
          <w:bCs/>
        </w:rPr>
        <w:t xml:space="preserve">Tobacco Cessation </w:t>
      </w:r>
    </w:p>
    <w:p w:rsidR="00EA6FD6" w:rsidP="00423B00" w:rsidRDefault="00423B00" w14:paraId="5F0870BE" w14:textId="24B3EFC4">
      <w:pPr>
        <w:pStyle w:val="ListParagraph"/>
        <w:numPr>
          <w:ilvl w:val="1"/>
          <w:numId w:val="1"/>
        </w:numPr>
      </w:pPr>
      <w:r w:rsidRPr="00423B00">
        <w:t>2026 VA/DoD Clinical Practice Guideline for Tobacco Use Disorder</w:t>
      </w:r>
    </w:p>
    <w:p w:rsidR="00B47CDB" w:rsidP="004F76DF" w:rsidRDefault="00B47CDB" w14:paraId="44CBC7BB" w14:textId="74BDDA38">
      <w:pPr>
        <w:pStyle w:val="ListParagraph"/>
        <w:numPr>
          <w:ilvl w:val="2"/>
          <w:numId w:val="1"/>
        </w:numPr>
      </w:pPr>
      <w:r w:rsidRPr="00B47CDB">
        <w:lastRenderedPageBreak/>
        <w:t>Department of Veterans Affairs, Department of Defense. VA/DoD clinical practice guideline for the management of tobacco use disorder. 2026.</w:t>
      </w:r>
    </w:p>
    <w:p w:rsidR="00D01EF2" w:rsidP="004F76DF" w:rsidRDefault="00646E06" w14:paraId="334FA6F0" w14:textId="3802B29B">
      <w:pPr>
        <w:pStyle w:val="ListParagraph"/>
        <w:numPr>
          <w:ilvl w:val="2"/>
          <w:numId w:val="1"/>
        </w:numPr>
      </w:pPr>
      <w:hyperlink w:history="1" r:id="rId26">
        <w:r w:rsidRPr="00F4380C">
          <w:rPr>
            <w:rStyle w:val="Hyperlink"/>
          </w:rPr>
          <w:t>https://jamanetwork.com/journals/jama/fullarticle/2775287</w:t>
        </w:r>
      </w:hyperlink>
    </w:p>
    <w:p w:rsidR="00646E06" w:rsidP="00646E06" w:rsidRDefault="00646E06" w14:paraId="34958CB4" w14:textId="72787FA6">
      <w:pPr>
        <w:pStyle w:val="ListParagraph"/>
        <w:numPr>
          <w:ilvl w:val="2"/>
          <w:numId w:val="1"/>
        </w:numPr>
      </w:pPr>
      <w:hyperlink w:history="1" r:id="rId27">
        <w:r w:rsidRPr="00F4380C">
          <w:rPr>
            <w:rStyle w:val="Hyperlink"/>
          </w:rPr>
          <w:t>https://www.healthquality.va.gov/HEALTHQUALITY/guidelines/CD/tobacco/Tobacco-Cessation-CPG_2026-Guideline_final_20260109.pdf</w:t>
        </w:r>
      </w:hyperlink>
    </w:p>
    <w:p w:rsidR="00561BCF" w:rsidP="00561BCF" w:rsidRDefault="00FD6BD4" w14:paraId="312A5251" w14:textId="2EC3A139">
      <w:r>
        <w:t>Additional Idea Topics</w:t>
      </w:r>
      <w:commentRangeStart w:id="5"/>
      <w:r w:rsidR="004F76DF">
        <w:t>….</w:t>
      </w:r>
      <w:commentRangeEnd w:id="5"/>
      <w:r w:rsidR="004F76DF">
        <w:rPr>
          <w:rStyle w:val="CommentReference"/>
          <w:sz w:val="24"/>
          <w:szCs w:val="24"/>
        </w:rPr>
        <w:commentReference w:id="5"/>
      </w:r>
    </w:p>
    <w:p w:rsidR="003D0AD2" w:rsidP="00561BCF" w:rsidRDefault="003D0AD2" w14:paraId="37DDCB57" w14:textId="77777777"/>
    <w:p w:rsidRPr="003D0AD2" w:rsidR="009574A1" w:rsidP="00231ADC" w:rsidRDefault="00561BCF" w14:paraId="38BBF84E" w14:textId="021D0F43">
      <w:pPr>
        <w:rPr>
          <w:b/>
          <w:bCs/>
          <w:u w:val="single"/>
        </w:rPr>
      </w:pPr>
      <w:r w:rsidRPr="003D0AD2">
        <w:rPr>
          <w:b/>
          <w:bCs/>
          <w:u w:val="single"/>
        </w:rPr>
        <w:t xml:space="preserve">Top Inpatient Care Disease States </w:t>
      </w:r>
    </w:p>
    <w:p w:rsidRPr="007A6AE4" w:rsidR="009574A1" w:rsidP="00B27042" w:rsidRDefault="009574A1" w14:paraId="36BAB3DE" w14:textId="6999C28E">
      <w:pPr>
        <w:pStyle w:val="ListParagraph"/>
        <w:numPr>
          <w:ilvl w:val="0"/>
          <w:numId w:val="6"/>
        </w:numPr>
        <w:spacing w:after="0" w:line="240" w:lineRule="auto"/>
        <w:rPr>
          <w:rFonts w:eastAsia="Times New Roman" w:cs="Times New Roman"/>
          <w:b/>
          <w:bCs/>
          <w:kern w:val="0"/>
          <w14:ligatures w14:val="none"/>
        </w:rPr>
      </w:pPr>
      <w:r w:rsidRPr="007A6AE4">
        <w:rPr>
          <w:rFonts w:eastAsia="Times New Roman" w:cs="Times New Roman"/>
          <w:b/>
          <w:bCs/>
          <w:kern w:val="0"/>
          <w14:ligatures w14:val="none"/>
        </w:rPr>
        <w:t>Community-Acquired Pneumonia (CAP)</w:t>
      </w:r>
    </w:p>
    <w:p w:rsidRPr="009574A1" w:rsidR="009574A1" w:rsidP="00231ADC" w:rsidRDefault="009574A1" w14:paraId="70E41443" w14:textId="5B751BDC">
      <w:pPr>
        <w:pStyle w:val="ListParagraph"/>
        <w:numPr>
          <w:ilvl w:val="1"/>
          <w:numId w:val="6"/>
        </w:numPr>
        <w:spacing w:after="0" w:line="240" w:lineRule="auto"/>
        <w:rPr>
          <w:rFonts w:eastAsia="Times New Roman" w:cs="Times New Roman"/>
          <w:kern w:val="0"/>
          <w14:ligatures w14:val="none"/>
        </w:rPr>
      </w:pPr>
      <w:r w:rsidRPr="009574A1">
        <w:rPr>
          <w:rFonts w:eastAsia="Times New Roman" w:cs="Times New Roman"/>
          <w:kern w:val="0"/>
          <w14:ligatures w14:val="none"/>
        </w:rPr>
        <w:t>2019 ATS/IDSA CAP Guideline</w:t>
      </w:r>
    </w:p>
    <w:p w:rsidR="00E06F46" w:rsidP="003D0AD2" w:rsidRDefault="00E06F46" w14:paraId="22C80D32" w14:textId="1C7930A8">
      <w:pPr>
        <w:pStyle w:val="ListParagraph"/>
        <w:numPr>
          <w:ilvl w:val="2"/>
          <w:numId w:val="6"/>
        </w:numPr>
        <w:spacing w:after="0" w:line="240" w:lineRule="auto"/>
        <w:rPr>
          <w:rFonts w:eastAsia="Times New Roman" w:cs="Times New Roman"/>
          <w:kern w:val="0"/>
          <w14:ligatures w14:val="none"/>
        </w:rPr>
      </w:pPr>
      <w:r w:rsidRPr="00E06F46">
        <w:rPr>
          <w:rFonts w:eastAsia="Times New Roman" w:cs="Times New Roman"/>
          <w:kern w:val="0"/>
          <w14:ligatures w14:val="none"/>
        </w:rPr>
        <w:t>Metlay JP, Waterer GW, Long AC, et al. Diagnosis and treatment of adults with community-acquired pneumonia. An official clinical practice guideline of the American Thoracic Society and Infectious Diseases Society of America. Am J Respir Crit Care Med. 2019;200(7).</w:t>
      </w:r>
    </w:p>
    <w:p w:rsidRPr="002B42D1" w:rsidR="002B42D1" w:rsidP="002B42D1" w:rsidRDefault="002B42D1" w14:paraId="7BE3E03E" w14:textId="36752C23">
      <w:pPr>
        <w:pStyle w:val="ListParagraph"/>
        <w:numPr>
          <w:ilvl w:val="2"/>
          <w:numId w:val="6"/>
        </w:numPr>
        <w:spacing w:after="0" w:line="240" w:lineRule="auto"/>
        <w:rPr>
          <w:rFonts w:eastAsia="Times New Roman" w:cs="Times New Roman"/>
          <w:kern w:val="0"/>
          <w14:ligatures w14:val="none"/>
        </w:rPr>
      </w:pPr>
      <w:hyperlink w:history="1" r:id="rId28">
        <w:r w:rsidRPr="00F4380C">
          <w:rPr>
            <w:rStyle w:val="Hyperlink"/>
            <w:rFonts w:eastAsia="Times New Roman" w:cs="Times New Roman"/>
            <w:kern w:val="0"/>
            <w14:ligatures w14:val="none"/>
          </w:rPr>
          <w:t>https://www.idsociety.org/practice-guideline/community-acquired-pneumonia-cap-in-adults</w:t>
        </w:r>
      </w:hyperlink>
    </w:p>
    <w:p w:rsidRPr="007A6AE4" w:rsidR="00D34B7F" w:rsidP="00231ADC" w:rsidRDefault="009574A1" w14:paraId="7ABD49AD" w14:textId="77777777">
      <w:pPr>
        <w:pStyle w:val="ListParagraph"/>
        <w:numPr>
          <w:ilvl w:val="0"/>
          <w:numId w:val="6"/>
        </w:numPr>
        <w:spacing w:after="0" w:line="240" w:lineRule="auto"/>
        <w:rPr>
          <w:rFonts w:eastAsia="Times New Roman" w:cs="Times New Roman"/>
          <w:b/>
          <w:bCs/>
          <w:kern w:val="0"/>
          <w14:ligatures w14:val="none"/>
        </w:rPr>
      </w:pPr>
      <w:r w:rsidRPr="007A6AE4">
        <w:rPr>
          <w:rFonts w:eastAsia="Times New Roman" w:cs="Times New Roman"/>
          <w:b/>
          <w:bCs/>
          <w:kern w:val="0"/>
          <w14:ligatures w14:val="none"/>
        </w:rPr>
        <w:t>Sepsis and Septic Shock</w:t>
      </w:r>
    </w:p>
    <w:p w:rsidR="009574A1" w:rsidP="00231ADC" w:rsidRDefault="009574A1" w14:paraId="4E3BCE9B" w14:textId="68435914">
      <w:pPr>
        <w:pStyle w:val="ListParagraph"/>
        <w:numPr>
          <w:ilvl w:val="1"/>
          <w:numId w:val="6"/>
        </w:numPr>
        <w:spacing w:after="0" w:line="240" w:lineRule="auto"/>
        <w:rPr>
          <w:rFonts w:eastAsia="Times New Roman" w:cs="Times New Roman"/>
          <w:kern w:val="0"/>
          <w14:ligatures w14:val="none"/>
        </w:rPr>
      </w:pPr>
      <w:r w:rsidRPr="009574A1">
        <w:rPr>
          <w:rFonts w:eastAsia="Times New Roman" w:cs="Times New Roman"/>
          <w:kern w:val="0"/>
          <w14:ligatures w14:val="none"/>
        </w:rPr>
        <w:t>2021 Surviving Sepsis Campaign</w:t>
      </w:r>
    </w:p>
    <w:p w:rsidR="007C3113" w:rsidP="003D0AD2" w:rsidRDefault="007C3113" w14:paraId="422A4D0B" w14:textId="4655CB27">
      <w:pPr>
        <w:pStyle w:val="ListParagraph"/>
        <w:numPr>
          <w:ilvl w:val="2"/>
          <w:numId w:val="6"/>
        </w:numPr>
        <w:spacing w:after="0" w:line="240" w:lineRule="auto"/>
        <w:rPr>
          <w:rFonts w:eastAsia="Times New Roman" w:cs="Times New Roman"/>
          <w:kern w:val="0"/>
          <w14:ligatures w14:val="none"/>
        </w:rPr>
      </w:pPr>
      <w:r w:rsidRPr="007C3113">
        <w:rPr>
          <w:rFonts w:eastAsia="Times New Roman" w:cs="Times New Roman"/>
          <w:kern w:val="0"/>
          <w14:ligatures w14:val="none"/>
        </w:rPr>
        <w:t>Evans L, Rhodes A, Alhazzani W, et al. Surviving sepsis campaign: international guidelines for management of sepsis and septic shock 2021. Crit Care Med. 2021;49(11).</w:t>
      </w:r>
    </w:p>
    <w:p w:rsidRPr="00356BB1" w:rsidR="00356BB1" w:rsidP="00356BB1" w:rsidRDefault="00356BB1" w14:paraId="016CC767" w14:textId="574535BF">
      <w:pPr>
        <w:pStyle w:val="ListParagraph"/>
        <w:numPr>
          <w:ilvl w:val="2"/>
          <w:numId w:val="6"/>
        </w:numPr>
        <w:spacing w:after="0" w:line="240" w:lineRule="auto"/>
        <w:rPr>
          <w:rFonts w:eastAsia="Times New Roman" w:cs="Times New Roman"/>
          <w:kern w:val="0"/>
          <w14:ligatures w14:val="none"/>
        </w:rPr>
      </w:pPr>
      <w:hyperlink w:history="1" r:id="rId29">
        <w:r w:rsidRPr="00F4380C">
          <w:rPr>
            <w:rStyle w:val="Hyperlink"/>
            <w:rFonts w:eastAsia="Times New Roman" w:cs="Times New Roman"/>
            <w:kern w:val="0"/>
            <w14:ligatures w14:val="none"/>
          </w:rPr>
          <w:t>https://sccm.org/survivingsepsiscampaign/guidelines-and-resources/surviving-sepsis-campaign-adult-guidelines</w:t>
        </w:r>
      </w:hyperlink>
    </w:p>
    <w:p w:rsidRPr="007A6AE4" w:rsidR="00D34B7F" w:rsidP="00231ADC" w:rsidRDefault="009574A1" w14:paraId="066D3EBB" w14:textId="7BDEA6D3">
      <w:pPr>
        <w:pStyle w:val="ListParagraph"/>
        <w:numPr>
          <w:ilvl w:val="0"/>
          <w:numId w:val="6"/>
        </w:numPr>
        <w:spacing w:after="0" w:line="240" w:lineRule="auto"/>
        <w:rPr>
          <w:rFonts w:eastAsia="Times New Roman" w:cs="Times New Roman"/>
          <w:b/>
          <w:bCs/>
          <w:kern w:val="0"/>
          <w14:ligatures w14:val="none"/>
        </w:rPr>
      </w:pPr>
      <w:r w:rsidRPr="007A6AE4">
        <w:rPr>
          <w:rFonts w:eastAsia="Times New Roman" w:cs="Times New Roman"/>
          <w:b/>
          <w:bCs/>
          <w:kern w:val="0"/>
          <w14:ligatures w14:val="none"/>
        </w:rPr>
        <w:t>Acute Decompensated Heart Failure</w:t>
      </w:r>
      <w:r w:rsidR="007A6AE4">
        <w:rPr>
          <w:rFonts w:eastAsia="Times New Roman" w:cs="Times New Roman"/>
          <w:b/>
          <w:bCs/>
          <w:kern w:val="0"/>
          <w14:ligatures w14:val="none"/>
        </w:rPr>
        <w:t xml:space="preserve"> (ADHF)</w:t>
      </w:r>
    </w:p>
    <w:p w:rsidR="009574A1" w:rsidP="00231ADC" w:rsidRDefault="009574A1" w14:paraId="6771FA7B" w14:textId="1FF1483E">
      <w:pPr>
        <w:pStyle w:val="ListParagraph"/>
        <w:numPr>
          <w:ilvl w:val="1"/>
          <w:numId w:val="6"/>
        </w:numPr>
        <w:spacing w:after="0" w:line="240" w:lineRule="auto"/>
        <w:rPr>
          <w:rFonts w:eastAsia="Times New Roman" w:cs="Times New Roman"/>
          <w:kern w:val="0"/>
          <w14:ligatures w14:val="none"/>
        </w:rPr>
      </w:pPr>
      <w:r w:rsidRPr="009574A1">
        <w:rPr>
          <w:rFonts w:eastAsia="Times New Roman" w:cs="Times New Roman"/>
          <w:kern w:val="0"/>
          <w14:ligatures w14:val="none"/>
        </w:rPr>
        <w:t>2022 AHA/ACC/HFSA Heart Failure Guideline</w:t>
      </w:r>
    </w:p>
    <w:p w:rsidR="008B5EB8" w:rsidP="003D0AD2" w:rsidRDefault="008B5EB8" w14:paraId="58B7BF97" w14:textId="06823C43">
      <w:pPr>
        <w:pStyle w:val="ListParagraph"/>
        <w:numPr>
          <w:ilvl w:val="2"/>
          <w:numId w:val="6"/>
        </w:numPr>
        <w:spacing w:after="0" w:line="240" w:lineRule="auto"/>
        <w:rPr>
          <w:rFonts w:eastAsia="Times New Roman" w:cs="Times New Roman"/>
          <w:kern w:val="0"/>
          <w14:ligatures w14:val="none"/>
        </w:rPr>
      </w:pPr>
      <w:r w:rsidRPr="008B5EB8">
        <w:rPr>
          <w:rFonts w:eastAsia="Times New Roman" w:cs="Times New Roman"/>
          <w:kern w:val="0"/>
          <w14:ligatures w14:val="none"/>
        </w:rPr>
        <w:t>Heidenreich PA, Bozkurt B, Aguilar D, et al. 2022 AHA/ACC/HFSA guideline for the management of heart failure. J Am Coll Cardiol. 2022;79(17).</w:t>
      </w:r>
    </w:p>
    <w:p w:rsidRPr="00735C19" w:rsidR="00735C19" w:rsidP="00735C19" w:rsidRDefault="00735C19" w14:paraId="663A06E7" w14:textId="279F60E0">
      <w:pPr>
        <w:pStyle w:val="ListParagraph"/>
        <w:numPr>
          <w:ilvl w:val="2"/>
          <w:numId w:val="6"/>
        </w:numPr>
        <w:spacing w:after="0" w:line="240" w:lineRule="auto"/>
        <w:rPr>
          <w:rFonts w:eastAsia="Times New Roman" w:cs="Times New Roman"/>
          <w:kern w:val="0"/>
          <w14:ligatures w14:val="none"/>
        </w:rPr>
      </w:pPr>
      <w:hyperlink w:history="1" r:id="rId30">
        <w:r w:rsidRPr="00F4380C">
          <w:rPr>
            <w:rStyle w:val="Hyperlink"/>
            <w:rFonts w:eastAsia="Times New Roman" w:cs="Times New Roman"/>
            <w:kern w:val="0"/>
            <w14:ligatures w14:val="none"/>
          </w:rPr>
          <w:t>https://professional.heart.org/en/guidelines-and-statements/clinical-guidelines-and-recommendations/heart-failure</w:t>
        </w:r>
      </w:hyperlink>
    </w:p>
    <w:p w:rsidRPr="007A6AE4" w:rsidR="00D34B7F" w:rsidP="00231ADC" w:rsidRDefault="009574A1" w14:paraId="1776B1E8" w14:textId="77777777">
      <w:pPr>
        <w:pStyle w:val="ListParagraph"/>
        <w:numPr>
          <w:ilvl w:val="0"/>
          <w:numId w:val="6"/>
        </w:numPr>
        <w:spacing w:after="0" w:line="240" w:lineRule="auto"/>
        <w:rPr>
          <w:rFonts w:eastAsia="Times New Roman" w:cs="Times New Roman"/>
          <w:b/>
          <w:bCs/>
          <w:kern w:val="0"/>
          <w14:ligatures w14:val="none"/>
        </w:rPr>
      </w:pPr>
      <w:r w:rsidRPr="007A6AE4">
        <w:rPr>
          <w:rFonts w:eastAsia="Times New Roman" w:cs="Times New Roman"/>
          <w:b/>
          <w:bCs/>
          <w:kern w:val="0"/>
          <w14:ligatures w14:val="none"/>
        </w:rPr>
        <w:t>Acute Coronary Syndrome (NSTEMI/STEMI)</w:t>
      </w:r>
    </w:p>
    <w:p w:rsidR="009574A1" w:rsidP="00231ADC" w:rsidRDefault="009574A1" w14:paraId="1AA32949" w14:textId="275125B7">
      <w:pPr>
        <w:pStyle w:val="ListParagraph"/>
        <w:numPr>
          <w:ilvl w:val="1"/>
          <w:numId w:val="6"/>
        </w:numPr>
        <w:spacing w:after="0" w:line="240" w:lineRule="auto"/>
        <w:rPr>
          <w:rFonts w:eastAsia="Times New Roman" w:cs="Times New Roman"/>
          <w:kern w:val="0"/>
          <w14:ligatures w14:val="none"/>
        </w:rPr>
      </w:pPr>
      <w:r w:rsidRPr="009574A1">
        <w:rPr>
          <w:rFonts w:eastAsia="Times New Roman" w:cs="Times New Roman"/>
          <w:kern w:val="0"/>
          <w14:ligatures w14:val="none"/>
        </w:rPr>
        <w:t>2025 ACC/AHA Acute Coronary Syndromes Guideline</w:t>
      </w:r>
    </w:p>
    <w:p w:rsidR="00E4416E" w:rsidP="003D0AD2" w:rsidRDefault="00E4416E" w14:paraId="5EA5B133" w14:textId="0B76BD17">
      <w:pPr>
        <w:pStyle w:val="ListParagraph"/>
        <w:numPr>
          <w:ilvl w:val="2"/>
          <w:numId w:val="6"/>
        </w:numPr>
        <w:spacing w:after="0" w:line="240" w:lineRule="auto"/>
        <w:rPr>
          <w:rFonts w:eastAsia="Times New Roman" w:cs="Times New Roman"/>
          <w:kern w:val="0"/>
          <w14:ligatures w14:val="none"/>
        </w:rPr>
      </w:pPr>
      <w:r w:rsidRPr="00E4416E">
        <w:rPr>
          <w:rFonts w:eastAsia="Times New Roman" w:cs="Times New Roman"/>
          <w:kern w:val="0"/>
          <w14:ligatures w14:val="none"/>
        </w:rPr>
        <w:t>Rao SV, O'Donoghue ML, Ruel M, et al. 2025 ACC/AHA guideline for the management of patients with acute coronary syndromes. Circulation. 2025.</w:t>
      </w:r>
    </w:p>
    <w:p w:rsidRPr="00735C19" w:rsidR="00735C19" w:rsidP="00735C19" w:rsidRDefault="00735C19" w14:paraId="10369E14" w14:textId="34DDC7B2">
      <w:pPr>
        <w:pStyle w:val="ListParagraph"/>
        <w:numPr>
          <w:ilvl w:val="2"/>
          <w:numId w:val="6"/>
        </w:numPr>
        <w:spacing w:after="0" w:line="240" w:lineRule="auto"/>
        <w:rPr>
          <w:rFonts w:eastAsia="Times New Roman" w:cs="Times New Roman"/>
          <w:kern w:val="0"/>
          <w14:ligatures w14:val="none"/>
        </w:rPr>
      </w:pPr>
      <w:hyperlink w:history="1" r:id="rId31">
        <w:r w:rsidRPr="00F4380C">
          <w:rPr>
            <w:rStyle w:val="Hyperlink"/>
            <w:rFonts w:eastAsia="Times New Roman" w:cs="Times New Roman"/>
            <w:kern w:val="0"/>
            <w14:ligatures w14:val="none"/>
          </w:rPr>
          <w:t>https://professional.heart.org/en/guidelines-statements/2025-accahaacepnaemspscai-guideline-for-the-management-of-patients-with-acutecir0000000000001309</w:t>
        </w:r>
      </w:hyperlink>
    </w:p>
    <w:p w:rsidRPr="007A6AE4" w:rsidR="00FF7E76" w:rsidP="00FF7E76" w:rsidRDefault="009574A1" w14:paraId="796CA938" w14:textId="07BBE03E">
      <w:pPr>
        <w:pStyle w:val="ListParagraph"/>
        <w:numPr>
          <w:ilvl w:val="0"/>
          <w:numId w:val="6"/>
        </w:numPr>
        <w:spacing w:after="0" w:line="240" w:lineRule="auto"/>
        <w:rPr>
          <w:rFonts w:eastAsia="Times New Roman" w:cs="Times New Roman"/>
          <w:b/>
          <w:bCs/>
          <w:kern w:val="0"/>
          <w14:ligatures w14:val="none"/>
        </w:rPr>
      </w:pPr>
      <w:r w:rsidRPr="007A6AE4">
        <w:rPr>
          <w:rFonts w:eastAsia="Times New Roman" w:cs="Times New Roman"/>
          <w:b/>
          <w:bCs/>
          <w:kern w:val="0"/>
          <w14:ligatures w14:val="none"/>
        </w:rPr>
        <w:t>Acute Ischemic Stroke</w:t>
      </w:r>
    </w:p>
    <w:p w:rsidR="008B5EB8" w:rsidP="00025988" w:rsidRDefault="00025988" w14:paraId="0984786D" w14:textId="3A9F41CF">
      <w:pPr>
        <w:pStyle w:val="ListParagraph"/>
        <w:numPr>
          <w:ilvl w:val="1"/>
          <w:numId w:val="6"/>
        </w:numPr>
        <w:spacing w:after="0" w:line="240" w:lineRule="auto"/>
        <w:rPr>
          <w:rFonts w:eastAsia="Times New Roman" w:cs="Times New Roman"/>
          <w:kern w:val="0"/>
          <w14:ligatures w14:val="none"/>
        </w:rPr>
      </w:pPr>
      <w:r w:rsidRPr="00025988">
        <w:rPr>
          <w:rFonts w:eastAsia="Times New Roman" w:cs="Times New Roman"/>
          <w:kern w:val="0"/>
          <w14:ligatures w14:val="none"/>
        </w:rPr>
        <w:lastRenderedPageBreak/>
        <w:t>2019 AHA/ASA Guidelines for the Early Management of Patients With Acute Ischemic Stroke</w:t>
      </w:r>
    </w:p>
    <w:p w:rsidR="003D0AD2" w:rsidP="003D0AD2" w:rsidRDefault="003D0AD2" w14:paraId="6D7C6B48" w14:textId="27EA275E">
      <w:pPr>
        <w:pStyle w:val="ListParagraph"/>
        <w:numPr>
          <w:ilvl w:val="2"/>
          <w:numId w:val="6"/>
        </w:numPr>
        <w:spacing w:after="0" w:line="240" w:lineRule="auto"/>
        <w:rPr>
          <w:rFonts w:eastAsia="Times New Roman" w:cs="Times New Roman"/>
          <w:kern w:val="0"/>
          <w14:ligatures w14:val="none"/>
        </w:rPr>
      </w:pPr>
      <w:r w:rsidRPr="003D0AD2">
        <w:rPr>
          <w:rFonts w:eastAsia="Times New Roman" w:cs="Times New Roman"/>
          <w:kern w:val="0"/>
          <w14:ligatures w14:val="none"/>
        </w:rPr>
        <w:t xml:space="preserve">Powers WJ, Rabinstein AA, Ackerson T, et al. Guidelines for the early management of patients with acute ischemic stroke: 2019 update to the 2018 guidelines for the early management of acute ischemic stroke. </w:t>
      </w:r>
      <w:r w:rsidRPr="003D0AD2">
        <w:rPr>
          <w:rFonts w:eastAsia="Times New Roman" w:cs="Times New Roman"/>
          <w:i/>
          <w:iCs/>
          <w:kern w:val="0"/>
          <w14:ligatures w14:val="none"/>
        </w:rPr>
        <w:t>Stroke.</w:t>
      </w:r>
      <w:r w:rsidRPr="003D0AD2">
        <w:rPr>
          <w:rFonts w:eastAsia="Times New Roman" w:cs="Times New Roman"/>
          <w:kern w:val="0"/>
          <w14:ligatures w14:val="none"/>
        </w:rPr>
        <w:t xml:space="preserve"> 2019;50(12):e344-e418.</w:t>
      </w:r>
    </w:p>
    <w:p w:rsidR="00CE7AD3" w:rsidP="003D0AD2" w:rsidRDefault="00CE7AD3" w14:paraId="26F2CEB6" w14:textId="596B7125">
      <w:pPr>
        <w:pStyle w:val="ListParagraph"/>
        <w:numPr>
          <w:ilvl w:val="2"/>
          <w:numId w:val="6"/>
        </w:numPr>
        <w:spacing w:after="0" w:line="240" w:lineRule="auto"/>
        <w:rPr>
          <w:rFonts w:eastAsia="Times New Roman" w:cs="Times New Roman"/>
          <w:kern w:val="0"/>
          <w14:ligatures w14:val="none"/>
        </w:rPr>
      </w:pPr>
      <w:hyperlink w:history="1" r:id="rId32">
        <w:r w:rsidRPr="00F4380C">
          <w:rPr>
            <w:rStyle w:val="Hyperlink"/>
            <w:rFonts w:eastAsia="Times New Roman" w:cs="Times New Roman"/>
            <w:kern w:val="0"/>
            <w14:ligatures w14:val="none"/>
          </w:rPr>
          <w:t>https://www.ahajournals.org/doi/10.1161/str.0000000000000211</w:t>
        </w:r>
      </w:hyperlink>
    </w:p>
    <w:p w:rsidRPr="004B2B16" w:rsidR="004B2B16" w:rsidP="004B2B16" w:rsidRDefault="004B2B16" w14:paraId="280E40F3" w14:textId="67E31870">
      <w:pPr>
        <w:pStyle w:val="ListParagraph"/>
        <w:numPr>
          <w:ilvl w:val="2"/>
          <w:numId w:val="6"/>
        </w:numPr>
        <w:spacing w:after="0" w:line="240" w:lineRule="auto"/>
        <w:rPr>
          <w:rFonts w:eastAsia="Times New Roman" w:cs="Times New Roman"/>
          <w:kern w:val="0"/>
          <w14:ligatures w14:val="none"/>
        </w:rPr>
      </w:pPr>
      <w:hyperlink w:history="1" r:id="rId33">
        <w:r w:rsidRPr="00F4380C">
          <w:rPr>
            <w:rStyle w:val="Hyperlink"/>
            <w:rFonts w:eastAsia="Times New Roman" w:cs="Times New Roman"/>
            <w:kern w:val="0"/>
            <w14:ligatures w14:val="none"/>
          </w:rPr>
          <w:t>https://www.stroke.org/-/media/Stroke-Files/Ischemic-Stroke-Professional-Materials/AIS-Toolkit/Guidelines-for-Mangaging-Patients-with-AIS-2019-Update-to-2018-Guidelines.pdf</w:t>
        </w:r>
      </w:hyperlink>
    </w:p>
    <w:p w:rsidRPr="007A6AE4" w:rsidR="00FF7E76" w:rsidP="00FF7E76" w:rsidRDefault="00FF7E76" w14:paraId="5065A551" w14:textId="77777777">
      <w:pPr>
        <w:pStyle w:val="ListParagraph"/>
        <w:numPr>
          <w:ilvl w:val="0"/>
          <w:numId w:val="6"/>
        </w:numPr>
        <w:spacing w:after="0" w:line="240" w:lineRule="auto"/>
        <w:rPr>
          <w:rFonts w:eastAsia="Times New Roman" w:cs="Times New Roman"/>
          <w:b/>
          <w:bCs/>
          <w:kern w:val="0"/>
          <w14:ligatures w14:val="none"/>
        </w:rPr>
      </w:pPr>
      <w:r w:rsidRPr="007A6AE4">
        <w:rPr>
          <w:rFonts w:eastAsia="Times New Roman" w:cs="Times New Roman"/>
          <w:b/>
          <w:bCs/>
          <w:kern w:val="0"/>
          <w14:ligatures w14:val="none"/>
        </w:rPr>
        <w:t>Diabetic Ketoacidosis / Hyperosmolar Hyperglycemic State</w:t>
      </w:r>
    </w:p>
    <w:p w:rsidR="00FF7E76" w:rsidP="00FD6BD4" w:rsidRDefault="00FF7E76" w14:paraId="1E0567A3" w14:textId="0937C06E">
      <w:pPr>
        <w:pStyle w:val="ListParagraph"/>
        <w:numPr>
          <w:ilvl w:val="1"/>
          <w:numId w:val="6"/>
        </w:numPr>
        <w:spacing w:after="0" w:line="240" w:lineRule="auto"/>
        <w:rPr>
          <w:rFonts w:eastAsia="Times New Roman" w:cs="Times New Roman"/>
          <w:kern w:val="0"/>
          <w14:ligatures w14:val="none"/>
        </w:rPr>
      </w:pPr>
      <w:r w:rsidRPr="009574A1">
        <w:rPr>
          <w:rFonts w:eastAsia="Times New Roman" w:cs="Times New Roman"/>
          <w:kern w:val="0"/>
          <w14:ligatures w14:val="none"/>
        </w:rPr>
        <w:t>2026 ADA Standards of Care</w:t>
      </w:r>
    </w:p>
    <w:p w:rsidR="0065476A" w:rsidP="003D0AD2" w:rsidRDefault="0065476A" w14:paraId="1A967794" w14:textId="2A4262D7">
      <w:pPr>
        <w:pStyle w:val="ListParagraph"/>
        <w:numPr>
          <w:ilvl w:val="2"/>
          <w:numId w:val="6"/>
        </w:numPr>
        <w:spacing w:after="0" w:line="240" w:lineRule="auto"/>
        <w:rPr>
          <w:rFonts w:eastAsia="Times New Roman" w:cs="Times New Roman"/>
          <w:kern w:val="0"/>
          <w14:ligatures w14:val="none"/>
        </w:rPr>
      </w:pPr>
      <w:r w:rsidRPr="0065476A">
        <w:rPr>
          <w:rFonts w:eastAsia="Times New Roman" w:cs="Times New Roman"/>
          <w:kern w:val="0"/>
          <w14:ligatures w14:val="none"/>
        </w:rPr>
        <w:t>American Diabetes Association Professional Practice Committee. Standards of care in diabetes—2026. Diabetes Care. 2026;49(Suppl 1).</w:t>
      </w:r>
    </w:p>
    <w:p w:rsidRPr="00735C19" w:rsidR="00735C19" w:rsidP="00735C19" w:rsidRDefault="00735C19" w14:paraId="491A8675" w14:textId="3DDD6872">
      <w:pPr>
        <w:pStyle w:val="ListParagraph"/>
        <w:numPr>
          <w:ilvl w:val="2"/>
          <w:numId w:val="6"/>
        </w:numPr>
        <w:spacing w:after="0" w:line="240" w:lineRule="auto"/>
        <w:rPr>
          <w:rFonts w:eastAsia="Times New Roman" w:cs="Times New Roman"/>
          <w:kern w:val="0"/>
          <w14:ligatures w14:val="none"/>
        </w:rPr>
      </w:pPr>
      <w:hyperlink w:history="1" r:id="rId34">
        <w:r w:rsidRPr="00F4380C">
          <w:rPr>
            <w:rStyle w:val="Hyperlink"/>
            <w:rFonts w:eastAsia="Times New Roman" w:cs="Times New Roman"/>
            <w:kern w:val="0"/>
            <w14:ligatures w14:val="none"/>
          </w:rPr>
          <w:t>https://professional.diabetes.org/standards-of-care</w:t>
        </w:r>
      </w:hyperlink>
    </w:p>
    <w:p w:rsidRPr="007A6AE4" w:rsidR="00FD6BD4" w:rsidP="00FD6BD4" w:rsidRDefault="00FD6BD4" w14:paraId="5A99611A" w14:textId="77777777">
      <w:pPr>
        <w:pStyle w:val="ListParagraph"/>
        <w:numPr>
          <w:ilvl w:val="0"/>
          <w:numId w:val="6"/>
        </w:numPr>
        <w:spacing w:after="0" w:line="240" w:lineRule="auto"/>
        <w:rPr>
          <w:rFonts w:eastAsia="Times New Roman" w:cs="Times New Roman"/>
          <w:b/>
          <w:bCs/>
          <w:kern w:val="0"/>
          <w14:ligatures w14:val="none"/>
        </w:rPr>
      </w:pPr>
      <w:r w:rsidRPr="007A6AE4">
        <w:rPr>
          <w:rFonts w:eastAsia="Times New Roman" w:cs="Times New Roman"/>
          <w:b/>
          <w:bCs/>
          <w:kern w:val="0"/>
          <w14:ligatures w14:val="none"/>
        </w:rPr>
        <w:t>Atrial Fibrillation with Rapid Ventricular Response</w:t>
      </w:r>
    </w:p>
    <w:p w:rsidR="00FD6BD4" w:rsidP="00FD6BD4" w:rsidRDefault="00FD6BD4" w14:paraId="261DA6EC" w14:textId="4BB48E38">
      <w:pPr>
        <w:pStyle w:val="ListParagraph"/>
        <w:numPr>
          <w:ilvl w:val="1"/>
          <w:numId w:val="6"/>
        </w:numPr>
        <w:spacing w:after="0" w:line="240" w:lineRule="auto"/>
        <w:rPr>
          <w:rFonts w:eastAsia="Times New Roman" w:cs="Times New Roman"/>
          <w:kern w:val="0"/>
          <w14:ligatures w14:val="none"/>
        </w:rPr>
      </w:pPr>
      <w:r w:rsidRPr="009574A1">
        <w:rPr>
          <w:rFonts w:eastAsia="Times New Roman" w:cs="Times New Roman"/>
          <w:kern w:val="0"/>
          <w14:ligatures w14:val="none"/>
        </w:rPr>
        <w:t>2023 ACC/AHA/ACCP/HRS Atrial Fibrillation Guideline</w:t>
      </w:r>
    </w:p>
    <w:p w:rsidR="000432F8" w:rsidP="003D0AD2" w:rsidRDefault="000432F8" w14:paraId="54475FEF" w14:textId="2E44E7FB">
      <w:pPr>
        <w:pStyle w:val="ListParagraph"/>
        <w:numPr>
          <w:ilvl w:val="2"/>
          <w:numId w:val="6"/>
        </w:numPr>
        <w:spacing w:after="0" w:line="240" w:lineRule="auto"/>
        <w:rPr>
          <w:rFonts w:eastAsia="Times New Roman" w:cs="Times New Roman"/>
          <w:kern w:val="0"/>
          <w14:ligatures w14:val="none"/>
        </w:rPr>
      </w:pPr>
      <w:r w:rsidRPr="000432F8">
        <w:rPr>
          <w:rFonts w:eastAsia="Times New Roman" w:cs="Times New Roman"/>
          <w:kern w:val="0"/>
          <w14:ligatures w14:val="none"/>
        </w:rPr>
        <w:t>Joglar JA, Chung MK, Armbruster AL, et al. 2023 ACC/AHA/ACCP/HRS guideline for the diagnosis and management of atrial fibrillation. Circulation. 2024;149</w:t>
      </w:r>
    </w:p>
    <w:p w:rsidRPr="00735C19" w:rsidR="00735C19" w:rsidP="00735C19" w:rsidRDefault="00735C19" w14:paraId="7E1EFB01" w14:textId="52543625">
      <w:pPr>
        <w:pStyle w:val="ListParagraph"/>
        <w:numPr>
          <w:ilvl w:val="2"/>
          <w:numId w:val="6"/>
        </w:numPr>
        <w:spacing w:after="0" w:line="240" w:lineRule="auto"/>
        <w:rPr>
          <w:rFonts w:eastAsia="Times New Roman" w:cs="Times New Roman"/>
          <w:kern w:val="0"/>
          <w14:ligatures w14:val="none"/>
        </w:rPr>
      </w:pPr>
      <w:hyperlink w:history="1" r:id="rId35">
        <w:r w:rsidRPr="00F4380C">
          <w:rPr>
            <w:rStyle w:val="Hyperlink"/>
            <w:rFonts w:eastAsia="Times New Roman" w:cs="Times New Roman"/>
            <w:kern w:val="0"/>
            <w14:ligatures w14:val="none"/>
          </w:rPr>
          <w:t>https://www.ahajournals.org/doi/10.1161/CIR.0000000000001193</w:t>
        </w:r>
      </w:hyperlink>
    </w:p>
    <w:p w:rsidRPr="007B4061" w:rsidR="00D34B7F" w:rsidP="00231ADC" w:rsidRDefault="009574A1" w14:paraId="5A9969D2" w14:textId="77777777">
      <w:pPr>
        <w:pStyle w:val="ListParagraph"/>
        <w:numPr>
          <w:ilvl w:val="0"/>
          <w:numId w:val="6"/>
        </w:numPr>
        <w:spacing w:after="0" w:line="240" w:lineRule="auto"/>
        <w:rPr>
          <w:rFonts w:eastAsia="Times New Roman" w:cs="Times New Roman"/>
          <w:b/>
          <w:bCs/>
          <w:kern w:val="0"/>
          <w14:ligatures w14:val="none"/>
        </w:rPr>
      </w:pPr>
      <w:r w:rsidRPr="007B4061">
        <w:rPr>
          <w:rFonts w:eastAsia="Times New Roman" w:cs="Times New Roman"/>
          <w:b/>
          <w:bCs/>
          <w:kern w:val="0"/>
          <w14:ligatures w14:val="none"/>
        </w:rPr>
        <w:t>COPD Exacerbation</w:t>
      </w:r>
    </w:p>
    <w:p w:rsidR="009574A1" w:rsidP="00231ADC" w:rsidRDefault="009574A1" w14:paraId="6EA2CA8B" w14:textId="78AE87B7">
      <w:pPr>
        <w:pStyle w:val="ListParagraph"/>
        <w:numPr>
          <w:ilvl w:val="1"/>
          <w:numId w:val="6"/>
        </w:numPr>
        <w:spacing w:after="0" w:line="240" w:lineRule="auto"/>
        <w:rPr>
          <w:rFonts w:eastAsia="Times New Roman" w:cs="Times New Roman"/>
          <w:kern w:val="0"/>
          <w14:ligatures w14:val="none"/>
        </w:rPr>
      </w:pPr>
      <w:r w:rsidRPr="009574A1">
        <w:rPr>
          <w:rFonts w:eastAsia="Times New Roman" w:cs="Times New Roman"/>
          <w:kern w:val="0"/>
          <w14:ligatures w14:val="none"/>
        </w:rPr>
        <w:t>2026 GOLD Report</w:t>
      </w:r>
    </w:p>
    <w:p w:rsidR="00061C12" w:rsidP="003D0AD2" w:rsidRDefault="00061C12" w14:paraId="42418094" w14:textId="17213908">
      <w:pPr>
        <w:pStyle w:val="ListParagraph"/>
        <w:numPr>
          <w:ilvl w:val="2"/>
          <w:numId w:val="6"/>
        </w:numPr>
        <w:spacing w:after="0" w:line="240" w:lineRule="auto"/>
        <w:rPr>
          <w:rFonts w:eastAsia="Times New Roman" w:cs="Times New Roman"/>
          <w:kern w:val="0"/>
          <w14:ligatures w14:val="none"/>
        </w:rPr>
      </w:pPr>
      <w:r w:rsidRPr="00061C12">
        <w:rPr>
          <w:rFonts w:eastAsia="Times New Roman" w:cs="Times New Roman"/>
          <w:kern w:val="0"/>
          <w14:ligatures w14:val="none"/>
        </w:rPr>
        <w:t>Global Initiative for Chronic Obstructive Lung Disease. Global strategy for prevention, diagnosis and management of COPD: 2026 report.</w:t>
      </w:r>
    </w:p>
    <w:p w:rsidR="003F75EB" w:rsidP="003F75EB" w:rsidRDefault="003F75EB" w14:paraId="0828264C" w14:textId="77777777">
      <w:pPr>
        <w:pStyle w:val="ListParagraph"/>
        <w:numPr>
          <w:ilvl w:val="2"/>
          <w:numId w:val="6"/>
        </w:numPr>
      </w:pPr>
      <w:hyperlink w:history="1" r:id="rId36">
        <w:r w:rsidRPr="00F4380C">
          <w:rPr>
            <w:rStyle w:val="Hyperlink"/>
          </w:rPr>
          <w:t>https://goldcopd.org/2026-gold-report-and-pocket-guide</w:t>
        </w:r>
      </w:hyperlink>
    </w:p>
    <w:p w:rsidRPr="003F75EB" w:rsidR="003F75EB" w:rsidP="003F75EB" w:rsidRDefault="003F75EB" w14:paraId="63066A48" w14:textId="63E2FA04">
      <w:pPr>
        <w:pStyle w:val="ListParagraph"/>
        <w:numPr>
          <w:ilvl w:val="2"/>
          <w:numId w:val="6"/>
        </w:numPr>
      </w:pPr>
      <w:hyperlink w:history="1" r:id="rId37">
        <w:r w:rsidRPr="00F4380C">
          <w:rPr>
            <w:rStyle w:val="Hyperlink"/>
          </w:rPr>
          <w:t>https://goldcopd.org/wp-content/uploads/2026/01/GOLD-REPORT-2026-v1.3-8Dec2025_WMV2.pdf</w:t>
        </w:r>
      </w:hyperlink>
    </w:p>
    <w:p w:rsidRPr="007B4061" w:rsidR="00D34B7F" w:rsidP="00231ADC" w:rsidRDefault="009574A1" w14:paraId="113258E8" w14:textId="77777777">
      <w:pPr>
        <w:pStyle w:val="ListParagraph"/>
        <w:numPr>
          <w:ilvl w:val="0"/>
          <w:numId w:val="6"/>
        </w:numPr>
        <w:spacing w:after="0" w:line="240" w:lineRule="auto"/>
        <w:rPr>
          <w:rFonts w:eastAsia="Times New Roman" w:cs="Times New Roman"/>
          <w:b/>
          <w:bCs/>
          <w:kern w:val="0"/>
          <w14:ligatures w14:val="none"/>
        </w:rPr>
      </w:pPr>
      <w:r w:rsidRPr="007B4061">
        <w:rPr>
          <w:rFonts w:eastAsia="Times New Roman" w:cs="Times New Roman"/>
          <w:b/>
          <w:bCs/>
          <w:kern w:val="0"/>
          <w14:ligatures w14:val="none"/>
        </w:rPr>
        <w:t>Acute Kidney Injur</w:t>
      </w:r>
      <w:r w:rsidRPr="007B4061" w:rsidR="00D34B7F">
        <w:rPr>
          <w:rFonts w:eastAsia="Times New Roman" w:cs="Times New Roman"/>
          <w:b/>
          <w:bCs/>
          <w:kern w:val="0"/>
          <w14:ligatures w14:val="none"/>
        </w:rPr>
        <w:t>y</w:t>
      </w:r>
    </w:p>
    <w:p w:rsidR="009574A1" w:rsidP="00DA5366" w:rsidRDefault="009574A1" w14:paraId="3CAEA767" w14:textId="66F2F1C7">
      <w:pPr>
        <w:pStyle w:val="ListParagraph"/>
        <w:numPr>
          <w:ilvl w:val="1"/>
          <w:numId w:val="6"/>
        </w:numPr>
        <w:spacing w:after="0" w:line="240" w:lineRule="auto"/>
        <w:rPr>
          <w:rFonts w:eastAsia="Times New Roman" w:cs="Times New Roman"/>
          <w:kern w:val="0"/>
          <w14:ligatures w14:val="none"/>
        </w:rPr>
      </w:pPr>
      <w:r w:rsidRPr="009574A1">
        <w:rPr>
          <w:rFonts w:eastAsia="Times New Roman" w:cs="Times New Roman"/>
          <w:kern w:val="0"/>
          <w14:ligatures w14:val="none"/>
        </w:rPr>
        <w:t>KDIGO Acute Kidney Injury Guideline</w:t>
      </w:r>
    </w:p>
    <w:p w:rsidR="00061C12" w:rsidP="004327E6" w:rsidRDefault="00061C12" w14:paraId="7735B63F" w14:textId="59CCE2A1">
      <w:pPr>
        <w:pStyle w:val="ListParagraph"/>
        <w:numPr>
          <w:ilvl w:val="2"/>
          <w:numId w:val="6"/>
        </w:numPr>
        <w:spacing w:after="0" w:line="240" w:lineRule="auto"/>
        <w:rPr>
          <w:rFonts w:eastAsia="Times New Roman" w:cs="Times New Roman"/>
          <w:kern w:val="0"/>
          <w14:ligatures w14:val="none"/>
        </w:rPr>
      </w:pPr>
      <w:r w:rsidRPr="00061C12">
        <w:rPr>
          <w:rFonts w:eastAsia="Times New Roman" w:cs="Times New Roman"/>
          <w:kern w:val="0"/>
          <w14:ligatures w14:val="none"/>
        </w:rPr>
        <w:t>Kidney Disease: Improving Global Outcomes Acute Kidney Injury Work Group. KDIGO clinical practice guideline for acute kidney injury. Kidney Int Suppl. 2012;2(1):1-138.</w:t>
      </w:r>
    </w:p>
    <w:p w:rsidRPr="00797CF7" w:rsidR="00797CF7" w:rsidP="00797CF7" w:rsidRDefault="00797CF7" w14:paraId="555A427B" w14:textId="41674E39">
      <w:pPr>
        <w:pStyle w:val="ListParagraph"/>
        <w:numPr>
          <w:ilvl w:val="2"/>
          <w:numId w:val="6"/>
        </w:numPr>
        <w:spacing w:after="0" w:line="240" w:lineRule="auto"/>
        <w:rPr>
          <w:rFonts w:eastAsia="Times New Roman" w:cs="Times New Roman"/>
          <w:kern w:val="0"/>
          <w14:ligatures w14:val="none"/>
        </w:rPr>
      </w:pPr>
      <w:hyperlink w:history="1" r:id="rId38">
        <w:r w:rsidRPr="00F4380C">
          <w:rPr>
            <w:rStyle w:val="Hyperlink"/>
            <w:rFonts w:eastAsia="Times New Roman" w:cs="Times New Roman"/>
            <w:kern w:val="0"/>
            <w14:ligatures w14:val="none"/>
          </w:rPr>
          <w:t>https://kdigo.org/guidelines/acute-kidney-injury</w:t>
        </w:r>
      </w:hyperlink>
    </w:p>
    <w:p w:rsidRPr="007B4061" w:rsidR="00D34B7F" w:rsidP="00231ADC" w:rsidRDefault="009574A1" w14:paraId="22068ED0" w14:textId="37B02595">
      <w:pPr>
        <w:pStyle w:val="ListParagraph"/>
        <w:numPr>
          <w:ilvl w:val="0"/>
          <w:numId w:val="6"/>
        </w:numPr>
        <w:spacing w:after="0" w:line="240" w:lineRule="auto"/>
        <w:rPr>
          <w:rFonts w:eastAsia="Times New Roman" w:cs="Times New Roman"/>
          <w:b/>
          <w:bCs/>
          <w:kern w:val="0"/>
          <w14:ligatures w14:val="none"/>
        </w:rPr>
      </w:pPr>
      <w:r w:rsidRPr="007B4061">
        <w:rPr>
          <w:rFonts w:eastAsia="Times New Roman" w:cs="Times New Roman"/>
          <w:b/>
          <w:bCs/>
          <w:kern w:val="0"/>
          <w14:ligatures w14:val="none"/>
        </w:rPr>
        <w:t>Gastrointestinal Bleeding</w:t>
      </w:r>
      <w:r w:rsidRPr="007B4061" w:rsidR="00E424F3">
        <w:rPr>
          <w:rFonts w:eastAsia="Times New Roman" w:cs="Times New Roman"/>
          <w:b/>
          <w:bCs/>
          <w:kern w:val="0"/>
          <w14:ligatures w14:val="none"/>
        </w:rPr>
        <w:t>/Ulcer</w:t>
      </w:r>
    </w:p>
    <w:p w:rsidR="009574A1" w:rsidP="00DA5366" w:rsidRDefault="009574A1" w14:paraId="05C10F45" w14:textId="4D6475C3">
      <w:pPr>
        <w:pStyle w:val="ListParagraph"/>
        <w:numPr>
          <w:ilvl w:val="1"/>
          <w:numId w:val="6"/>
        </w:numPr>
        <w:spacing w:after="0" w:line="240" w:lineRule="auto"/>
        <w:rPr>
          <w:rFonts w:eastAsia="Times New Roman" w:cs="Times New Roman"/>
          <w:kern w:val="0"/>
          <w14:ligatures w14:val="none"/>
        </w:rPr>
      </w:pPr>
      <w:r w:rsidRPr="009574A1">
        <w:rPr>
          <w:rFonts w:eastAsia="Times New Roman" w:cs="Times New Roman"/>
          <w:kern w:val="0"/>
          <w14:ligatures w14:val="none"/>
        </w:rPr>
        <w:t>2021 ACG Upper GI and Lower GI Bleeding Guidelines</w:t>
      </w:r>
    </w:p>
    <w:p w:rsidR="00E424F3" w:rsidP="004327E6" w:rsidRDefault="00E424F3" w14:paraId="15B7F878" w14:textId="5F9072A9">
      <w:pPr>
        <w:pStyle w:val="ListParagraph"/>
        <w:numPr>
          <w:ilvl w:val="2"/>
          <w:numId w:val="6"/>
        </w:numPr>
        <w:spacing w:after="0" w:line="240" w:lineRule="auto"/>
        <w:rPr>
          <w:rFonts w:eastAsia="Times New Roman" w:cs="Times New Roman"/>
          <w:kern w:val="0"/>
          <w14:ligatures w14:val="none"/>
        </w:rPr>
      </w:pPr>
      <w:r w:rsidRPr="00E424F3">
        <w:rPr>
          <w:rFonts w:eastAsia="Times New Roman" w:cs="Times New Roman"/>
          <w:kern w:val="0"/>
          <w14:ligatures w14:val="none"/>
        </w:rPr>
        <w:t>Laine L, Jensen DM. Management of patients with ulcer bleeding. Am J Gastroenterol. 2021;116(5):899-917.</w:t>
      </w:r>
    </w:p>
    <w:p w:rsidRPr="003F75EB" w:rsidR="00797CF7" w:rsidP="003F75EB" w:rsidRDefault="00797CF7" w14:paraId="4DD1AA09" w14:textId="7419D793">
      <w:pPr>
        <w:pStyle w:val="ListParagraph"/>
        <w:numPr>
          <w:ilvl w:val="2"/>
          <w:numId w:val="6"/>
        </w:numPr>
        <w:spacing w:after="0" w:line="240" w:lineRule="auto"/>
        <w:rPr>
          <w:rFonts w:eastAsia="Times New Roman" w:cs="Times New Roman"/>
          <w:kern w:val="0"/>
          <w14:ligatures w14:val="none"/>
        </w:rPr>
      </w:pPr>
      <w:hyperlink w:history="1" r:id="rId39">
        <w:r w:rsidRPr="00F4380C">
          <w:rPr>
            <w:rStyle w:val="Hyperlink"/>
            <w:rFonts w:eastAsia="Times New Roman" w:cs="Times New Roman"/>
            <w:kern w:val="0"/>
            <w14:ligatures w14:val="none"/>
          </w:rPr>
          <w:t>https://journals.lww.com/ajg/fulltext/2021/05000/acg_clinical_guideline__upper_gastrointestinal_and.14.aspx</w:t>
        </w:r>
      </w:hyperlink>
    </w:p>
    <w:p w:rsidR="004F7F86" w:rsidP="00931518" w:rsidRDefault="004F7F86" w14:paraId="10AD5D02" w14:textId="20986669"/>
    <w:p w:rsidR="00E25195" w:rsidP="00931518" w:rsidRDefault="00106917" w14:paraId="0C55A64D" w14:textId="7E96517C">
      <w:r>
        <w:lastRenderedPageBreak/>
        <w:t xml:space="preserve">11. </w:t>
      </w:r>
      <w:r w:rsidR="005B5BEE">
        <w:t>Infectious Disease</w:t>
      </w:r>
    </w:p>
    <w:p w:rsidR="003615BE" w:rsidP="003615BE" w:rsidRDefault="003615BE" w14:paraId="72498560" w14:textId="1207C812">
      <w:pPr>
        <w:pStyle w:val="ListParagraph"/>
        <w:numPr>
          <w:ilvl w:val="0"/>
          <w:numId w:val="8"/>
        </w:numPr>
      </w:pPr>
    </w:p>
    <w:p w:rsidR="00931518" w:rsidP="00931518" w:rsidRDefault="004F7F86" w14:paraId="707AE03B" w14:textId="0989C3D6">
      <w:commentRangeStart w:id="6"/>
      <w:commentRangeStart w:id="7"/>
      <w:r>
        <w:t>Additional idea topics…</w:t>
      </w:r>
      <w:commentRangeEnd w:id="6"/>
      <w:r w:rsidR="007C3113">
        <w:rPr>
          <w:rStyle w:val="CommentReference"/>
          <w:sz w:val="24"/>
          <w:szCs w:val="24"/>
        </w:rPr>
        <w:commentReference w:id="6"/>
      </w:r>
      <w:commentRangeEnd w:id="7"/>
      <w:r>
        <w:rPr>
          <w:rStyle w:val="CommentReference"/>
        </w:rPr>
        <w:commentReference w:id="7"/>
      </w:r>
    </w:p>
    <w:sectPr w:rsidR="00931518">
      <w:footerReference w:type="default" r:id="rId4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O" w:author="Alyssa Oakes" w:date="2026-06-03T21:10:00Z" w:id="0">
    <w:p w:rsidR="00CA5B74" w:rsidP="00CA5B74" w:rsidRDefault="00CA5B74" w14:paraId="3D13539E" w14:textId="77777777">
      <w:pPr>
        <w:pStyle w:val="CommentText"/>
      </w:pPr>
      <w:r>
        <w:rPr>
          <w:rStyle w:val="CommentReference"/>
        </w:rPr>
        <w:annotationRef/>
      </w:r>
      <w:r>
        <w:t>BP goals, 1</w:t>
      </w:r>
      <w:r>
        <w:rPr>
          <w:vertAlign w:val="superscript"/>
        </w:rPr>
        <w:t>st</w:t>
      </w:r>
      <w:r>
        <w:t xml:space="preserve"> line therapy, resistant HTN, monitoring</w:t>
      </w:r>
    </w:p>
  </w:comment>
  <w:comment w:initials="AO" w:author="Alyssa Oakes" w:date="2026-06-03T21:11:00Z" w:id="1">
    <w:p w:rsidR="00974A47" w:rsidP="00974A47" w:rsidRDefault="00974A47" w14:paraId="43A6FF67" w14:textId="77777777">
      <w:pPr>
        <w:pStyle w:val="CommentText"/>
      </w:pPr>
      <w:r>
        <w:rPr>
          <w:rStyle w:val="CommentReference"/>
        </w:rPr>
        <w:annotationRef/>
      </w:r>
      <w:r>
        <w:t>A1c goals, GLP-1s, SGLT2s, insulin initiation</w:t>
      </w:r>
    </w:p>
  </w:comment>
  <w:comment w:initials="AO" w:author="Alyssa Oakes" w:date="2026-06-03T21:11:00Z" w:id="2">
    <w:p w:rsidR="00974A47" w:rsidP="00974A47" w:rsidRDefault="00974A47" w14:paraId="064A97DA" w14:textId="77777777">
      <w:pPr>
        <w:pStyle w:val="CommentText"/>
      </w:pPr>
      <w:r>
        <w:rPr>
          <w:rStyle w:val="CommentReference"/>
        </w:rPr>
        <w:annotationRef/>
      </w:r>
      <w:r>
        <w:t>Statin intensity, PREVENT risk, SAMS/statin intolerance</w:t>
      </w:r>
    </w:p>
  </w:comment>
  <w:comment w:initials="AO" w:author="Alyssa Oakes" w:date="2026-06-03T21:12:00Z" w:id="3">
    <w:p w:rsidR="00914464" w:rsidP="00914464" w:rsidRDefault="00914464" w14:paraId="735BE08A" w14:textId="77777777">
      <w:pPr>
        <w:pStyle w:val="CommentText"/>
      </w:pPr>
      <w:r>
        <w:rPr>
          <w:rStyle w:val="CommentReference"/>
        </w:rPr>
        <w:annotationRef/>
      </w:r>
      <w:r>
        <w:t>Albuminuria, renal dosing, SGLT2 inhibitors</w:t>
      </w:r>
    </w:p>
  </w:comment>
  <w:comment w:initials="AO" w:author="Alyssa Oakes" w:date="2026-06-03T21:12:00Z" w:id="4">
    <w:p w:rsidR="00722E8A" w:rsidP="00722E8A" w:rsidRDefault="00722E8A" w14:paraId="27CDE96D" w14:textId="77777777">
      <w:pPr>
        <w:pStyle w:val="CommentText"/>
      </w:pPr>
      <w:r>
        <w:rPr>
          <w:rStyle w:val="CommentReference"/>
        </w:rPr>
        <w:annotationRef/>
      </w:r>
      <w:r>
        <w:t>Quad GDMT therapy, volume status, monitoring</w:t>
      </w:r>
    </w:p>
  </w:comment>
  <w:comment w:initials="AO" w:author="Alyssa Oakes" w:date="2026-06-03T20:42:00Z" w:id="5">
    <w:p w:rsidR="004F76DF" w:rsidP="004F76DF" w:rsidRDefault="004F76DF" w14:paraId="239FF503" w14:textId="77777777">
      <w:pPr>
        <w:pStyle w:val="CommentText"/>
        <w:numPr>
          <w:ilvl w:val="0"/>
          <w:numId w:val="7"/>
        </w:numPr>
      </w:pPr>
      <w:r>
        <w:rPr>
          <w:rStyle w:val="CommentReference"/>
        </w:rPr>
        <w:annotationRef/>
      </w:r>
      <w:r>
        <w:t>Obesity</w:t>
      </w:r>
    </w:p>
    <w:p w:rsidR="004F76DF" w:rsidP="004F76DF" w:rsidRDefault="004F76DF" w14:paraId="4A8730A2" w14:textId="77777777">
      <w:pPr>
        <w:pStyle w:val="CommentText"/>
        <w:numPr>
          <w:ilvl w:val="1"/>
          <w:numId w:val="7"/>
        </w:numPr>
      </w:pPr>
      <w:r>
        <w:t>2022 ASMBS/IFSO Indications for Metabolic and Bariatric Surgery</w:t>
      </w:r>
    </w:p>
    <w:p w:rsidR="004F76DF" w:rsidP="004F76DF" w:rsidRDefault="004F76DF" w14:paraId="3F6187B3" w14:textId="77777777">
      <w:pPr>
        <w:pStyle w:val="CommentText"/>
        <w:numPr>
          <w:ilvl w:val="1"/>
          <w:numId w:val="7"/>
        </w:numPr>
      </w:pPr>
      <w:r>
        <w:t>Eisenberg D, Shikora SA, Aarts E, et al. 2022 American Society for Metabolic and Bariatric Surgery and International Federation for the Surgery of Obesity and Metabolic Disorders indications for metabolic and bariatric surgery. Surg Obes Relat Dis. 2022;18(12):1345-1356.</w:t>
      </w:r>
    </w:p>
    <w:p w:rsidR="004F76DF" w:rsidP="004F76DF" w:rsidRDefault="004F76DF" w14:paraId="1B9FB77F" w14:textId="77777777">
      <w:pPr>
        <w:pStyle w:val="CommentText"/>
        <w:numPr>
          <w:ilvl w:val="0"/>
          <w:numId w:val="7"/>
        </w:numPr>
      </w:pPr>
      <w:r>
        <w:t>GERD</w:t>
      </w:r>
    </w:p>
    <w:p w:rsidR="004F76DF" w:rsidP="004F76DF" w:rsidRDefault="004F76DF" w14:paraId="594F31F7" w14:textId="77777777">
      <w:pPr>
        <w:pStyle w:val="CommentText"/>
        <w:numPr>
          <w:ilvl w:val="1"/>
          <w:numId w:val="7"/>
        </w:numPr>
      </w:pPr>
      <w:r>
        <w:t xml:space="preserve">2022 ACG Clinical Guideline for GERD </w:t>
      </w:r>
    </w:p>
    <w:p w:rsidR="004F76DF" w:rsidP="004F76DF" w:rsidRDefault="004F76DF" w14:paraId="7F7815AD" w14:textId="77777777">
      <w:pPr>
        <w:pStyle w:val="CommentText"/>
        <w:numPr>
          <w:ilvl w:val="1"/>
          <w:numId w:val="7"/>
        </w:numPr>
      </w:pPr>
      <w:r>
        <w:t>Katz PO, Dunbar KB, Schnoll-Sussman FH, et al. ACG clinical guideline for the diagnosis and management of gastroesophageal reflux disease. Am J Gastroenterol. 2022;117(1):27-56.</w:t>
      </w:r>
    </w:p>
  </w:comment>
  <w:comment w:initials="AO" w:author="Alyssa Oakes" w:date="2026-06-03T20:51:00Z" w:id="6">
    <w:p w:rsidR="007C3113" w:rsidP="007C3113" w:rsidRDefault="007C3113" w14:paraId="74A10A51" w14:textId="77777777">
      <w:pPr>
        <w:pStyle w:val="CommentText"/>
      </w:pPr>
      <w:r>
        <w:rPr>
          <w:rStyle w:val="CommentReference"/>
        </w:rPr>
        <w:annotationRef/>
      </w:r>
      <w:r>
        <w:t>Pain management, infectious disease, asthma exacerbation</w:t>
      </w:r>
    </w:p>
  </w:comment>
  <w:comment w:initials="PK" w:author="Patrick Kurunwune" w:date="2026-06-04T10:13:00Z" w:id="7">
    <w:p w:rsidR="003615BE" w:rsidP="003615BE" w:rsidRDefault="003615BE" w14:paraId="5C9496ED" w14:textId="77777777">
      <w:pPr>
        <w:pStyle w:val="CommentText"/>
      </w:pPr>
      <w:r>
        <w:rPr>
          <w:rStyle w:val="CommentReference"/>
        </w:rPr>
        <w:annotationRef/>
      </w:r>
      <w:r>
        <w:t>For ID - pull in all the content from your pharmacotherapy and advanced courses.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13539E" w15:done="0"/>
  <w15:commentEx w15:paraId="43A6FF67" w15:done="0"/>
  <w15:commentEx w15:paraId="064A97DA" w15:done="0"/>
  <w15:commentEx w15:paraId="735BE08A" w15:done="0"/>
  <w15:commentEx w15:paraId="27CDE96D" w15:done="0"/>
  <w15:commentEx w15:paraId="7F7815AD" w15:done="0"/>
  <w15:commentEx w15:paraId="74A10A51" w15:done="0"/>
  <w15:commentEx w15:paraId="5C9496ED" w15:paraIdParent="74A10A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20AA04" w16cex:dateUtc="2026-06-04T03:10:00Z"/>
  <w16cex:commentExtensible w16cex:durableId="44EC4693" w16cex:dateUtc="2026-06-04T03:11:00Z"/>
  <w16cex:commentExtensible w16cex:durableId="1A56702F" w16cex:dateUtc="2026-06-04T03:11:00Z"/>
  <w16cex:commentExtensible w16cex:durableId="359F5BAE" w16cex:dateUtc="2026-06-04T03:12:00Z"/>
  <w16cex:commentExtensible w16cex:durableId="74C720EB" w16cex:dateUtc="2026-06-04T03:12:00Z"/>
  <w16cex:commentExtensible w16cex:durableId="17276864" w16cex:dateUtc="2026-06-04T02:42:00Z"/>
  <w16cex:commentExtensible w16cex:durableId="5C275BC9" w16cex:dateUtc="2026-06-04T02:51:00Z"/>
  <w16cex:commentExtensible w16cex:durableId="3571A35F" w16cex:dateUtc="2026-06-04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13539E" w16cid:durableId="5920AA04"/>
  <w16cid:commentId w16cid:paraId="43A6FF67" w16cid:durableId="44EC4693"/>
  <w16cid:commentId w16cid:paraId="064A97DA" w16cid:durableId="1A56702F"/>
  <w16cid:commentId w16cid:paraId="735BE08A" w16cid:durableId="359F5BAE"/>
  <w16cid:commentId w16cid:paraId="27CDE96D" w16cid:durableId="74C720EB"/>
  <w16cid:commentId w16cid:paraId="7F7815AD" w16cid:durableId="17276864"/>
  <w16cid:commentId w16cid:paraId="74A10A51" w16cid:durableId="5C275BC9"/>
  <w16cid:commentId w16cid:paraId="5C9496ED" w16cid:durableId="3571A3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3EA3" w:rsidP="00971C12" w:rsidRDefault="002E3EA3" w14:paraId="4262C3F1" w14:textId="77777777">
      <w:pPr>
        <w:spacing w:after="0" w:line="240" w:lineRule="auto"/>
      </w:pPr>
      <w:r>
        <w:separator/>
      </w:r>
    </w:p>
  </w:endnote>
  <w:endnote w:type="continuationSeparator" w:id="0">
    <w:p w:rsidR="002E3EA3" w:rsidP="00971C12" w:rsidRDefault="002E3EA3" w14:paraId="44D59DB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392789"/>
      <w:docPartObj>
        <w:docPartGallery w:val="Page Numbers (Bottom of Page)"/>
        <w:docPartUnique/>
      </w:docPartObj>
    </w:sdtPr>
    <w:sdtEndPr>
      <w:rPr>
        <w:noProof/>
      </w:rPr>
    </w:sdtEndPr>
    <w:sdtContent>
      <w:p w:rsidR="00971C12" w:rsidRDefault="00971C12" w14:paraId="78FDEA2A" w14:textId="153229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71C12" w:rsidRDefault="00971C12" w14:paraId="6C4CF3F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3EA3" w:rsidP="00971C12" w:rsidRDefault="002E3EA3" w14:paraId="468FF7A5" w14:textId="77777777">
      <w:pPr>
        <w:spacing w:after="0" w:line="240" w:lineRule="auto"/>
      </w:pPr>
      <w:r>
        <w:separator/>
      </w:r>
    </w:p>
  </w:footnote>
  <w:footnote w:type="continuationSeparator" w:id="0">
    <w:p w:rsidR="002E3EA3" w:rsidP="00971C12" w:rsidRDefault="002E3EA3" w14:paraId="079962B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292"/>
    <w:multiLevelType w:val="hybridMultilevel"/>
    <w:tmpl w:val="CDEA0B5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99A0483"/>
    <w:multiLevelType w:val="multilevel"/>
    <w:tmpl w:val="9E3005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A7028"/>
    <w:multiLevelType w:val="hybridMultilevel"/>
    <w:tmpl w:val="0354F24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2FAA5574"/>
    <w:multiLevelType w:val="hybridMultilevel"/>
    <w:tmpl w:val="1BEA497A"/>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D4E0831"/>
    <w:multiLevelType w:val="hybridMultilevel"/>
    <w:tmpl w:val="E684DF88"/>
    <w:lvl w:ilvl="0" w:tplc="EDD6B588">
      <w:start w:val="1"/>
      <w:numFmt w:val="decimal"/>
      <w:lvlText w:val="%1)"/>
      <w:lvlJc w:val="left"/>
      <w:pPr>
        <w:ind w:left="720" w:hanging="360"/>
      </w:pPr>
      <w:rPr>
        <w:rFonts w:eastAsia="Times New Roman" w:cs="Times New Roman" w:asciiTheme="minorHAnsi" w:hAnsiTheme="minorHAnsi"/>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5E1058FA"/>
    <w:multiLevelType w:val="hybridMultilevel"/>
    <w:tmpl w:val="135C0B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BC2CB8"/>
    <w:multiLevelType w:val="hybridMultilevel"/>
    <w:tmpl w:val="853CB048"/>
    <w:lvl w:ilvl="0" w:tplc="B45484AC">
      <w:start w:val="1"/>
      <w:numFmt w:val="decimal"/>
      <w:lvlText w:val="%1)"/>
      <w:lvlJc w:val="left"/>
      <w:pPr>
        <w:ind w:left="1440" w:hanging="360"/>
      </w:pPr>
    </w:lvl>
    <w:lvl w:ilvl="1" w:tplc="60784288">
      <w:start w:val="1"/>
      <w:numFmt w:val="lowerLetter"/>
      <w:lvlText w:val="%2."/>
      <w:lvlJc w:val="left"/>
      <w:pPr>
        <w:ind w:left="2160" w:hanging="360"/>
      </w:pPr>
    </w:lvl>
    <w:lvl w:ilvl="2" w:tplc="E2A42CDA">
      <w:start w:val="1"/>
      <w:numFmt w:val="decimal"/>
      <w:lvlText w:val="%3)"/>
      <w:lvlJc w:val="left"/>
      <w:pPr>
        <w:ind w:left="1440" w:hanging="360"/>
      </w:pPr>
    </w:lvl>
    <w:lvl w:ilvl="3" w:tplc="33D02B5E">
      <w:start w:val="1"/>
      <w:numFmt w:val="decimal"/>
      <w:lvlText w:val="%4)"/>
      <w:lvlJc w:val="left"/>
      <w:pPr>
        <w:ind w:left="1440" w:hanging="360"/>
      </w:pPr>
    </w:lvl>
    <w:lvl w:ilvl="4" w:tplc="0D04CFEA">
      <w:start w:val="1"/>
      <w:numFmt w:val="decimal"/>
      <w:lvlText w:val="%5)"/>
      <w:lvlJc w:val="left"/>
      <w:pPr>
        <w:ind w:left="1440" w:hanging="360"/>
      </w:pPr>
    </w:lvl>
    <w:lvl w:ilvl="5" w:tplc="C744FF5A">
      <w:start w:val="1"/>
      <w:numFmt w:val="decimal"/>
      <w:lvlText w:val="%6)"/>
      <w:lvlJc w:val="left"/>
      <w:pPr>
        <w:ind w:left="1440" w:hanging="360"/>
      </w:pPr>
    </w:lvl>
    <w:lvl w:ilvl="6" w:tplc="C428B750">
      <w:start w:val="1"/>
      <w:numFmt w:val="decimal"/>
      <w:lvlText w:val="%7)"/>
      <w:lvlJc w:val="left"/>
      <w:pPr>
        <w:ind w:left="1440" w:hanging="360"/>
      </w:pPr>
    </w:lvl>
    <w:lvl w:ilvl="7" w:tplc="2F4CF648">
      <w:start w:val="1"/>
      <w:numFmt w:val="decimal"/>
      <w:lvlText w:val="%8)"/>
      <w:lvlJc w:val="left"/>
      <w:pPr>
        <w:ind w:left="1440" w:hanging="360"/>
      </w:pPr>
    </w:lvl>
    <w:lvl w:ilvl="8" w:tplc="C64CDA22">
      <w:start w:val="1"/>
      <w:numFmt w:val="decimal"/>
      <w:lvlText w:val="%9)"/>
      <w:lvlJc w:val="left"/>
      <w:pPr>
        <w:ind w:left="1440" w:hanging="360"/>
      </w:pPr>
    </w:lvl>
  </w:abstractNum>
  <w:abstractNum w:abstractNumId="7" w15:restartNumberingAfterBreak="0">
    <w:nsid w:val="7B89036B"/>
    <w:multiLevelType w:val="hybridMultilevel"/>
    <w:tmpl w:val="F1A2793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0319997">
    <w:abstractNumId w:val="7"/>
  </w:num>
  <w:num w:numId="2" w16cid:durableId="53362194">
    <w:abstractNumId w:val="5"/>
  </w:num>
  <w:num w:numId="3" w16cid:durableId="490099056">
    <w:abstractNumId w:val="1"/>
  </w:num>
  <w:num w:numId="4" w16cid:durableId="2026783534">
    <w:abstractNumId w:val="3"/>
  </w:num>
  <w:num w:numId="5" w16cid:durableId="411204145">
    <w:abstractNumId w:val="2"/>
  </w:num>
  <w:num w:numId="6" w16cid:durableId="2019194689">
    <w:abstractNumId w:val="4"/>
  </w:num>
  <w:num w:numId="7" w16cid:durableId="91435350">
    <w:abstractNumId w:val="6"/>
  </w:num>
  <w:num w:numId="8" w16cid:durableId="6085879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yssa Oakes">
    <w15:presenceInfo w15:providerId="Windows Live" w15:userId="b1f4e9ffb49a1527"/>
  </w15:person>
  <w15:person w15:author="Patrick Kurunwune">
    <w15:presenceInfo w15:providerId="AD" w15:userId="S::pkurunwune@premierpharmamentors.com::3ac7f42c-10ec-43bc-87d9-339ca39f77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DC6"/>
    <w:rsid w:val="000062B8"/>
    <w:rsid w:val="00011B83"/>
    <w:rsid w:val="00025988"/>
    <w:rsid w:val="00035A01"/>
    <w:rsid w:val="000432F8"/>
    <w:rsid w:val="00061C12"/>
    <w:rsid w:val="00084B6F"/>
    <w:rsid w:val="0009399C"/>
    <w:rsid w:val="000A445A"/>
    <w:rsid w:val="000B0F73"/>
    <w:rsid w:val="000E6C8B"/>
    <w:rsid w:val="000F4880"/>
    <w:rsid w:val="000F55EB"/>
    <w:rsid w:val="00106917"/>
    <w:rsid w:val="00131347"/>
    <w:rsid w:val="00136DDF"/>
    <w:rsid w:val="001B3612"/>
    <w:rsid w:val="00223FA7"/>
    <w:rsid w:val="00231ADC"/>
    <w:rsid w:val="00255CFB"/>
    <w:rsid w:val="002679FF"/>
    <w:rsid w:val="0027230E"/>
    <w:rsid w:val="002B42D1"/>
    <w:rsid w:val="002D0D11"/>
    <w:rsid w:val="002E3EA3"/>
    <w:rsid w:val="00310B56"/>
    <w:rsid w:val="00315932"/>
    <w:rsid w:val="003210C6"/>
    <w:rsid w:val="00356BB1"/>
    <w:rsid w:val="003615BE"/>
    <w:rsid w:val="003808A6"/>
    <w:rsid w:val="003A07ED"/>
    <w:rsid w:val="003A25B1"/>
    <w:rsid w:val="003D0AD2"/>
    <w:rsid w:val="003F75EB"/>
    <w:rsid w:val="004227CD"/>
    <w:rsid w:val="00423B00"/>
    <w:rsid w:val="004327E6"/>
    <w:rsid w:val="00475BFA"/>
    <w:rsid w:val="00491FFE"/>
    <w:rsid w:val="004B2B16"/>
    <w:rsid w:val="004B3171"/>
    <w:rsid w:val="004C749B"/>
    <w:rsid w:val="004D7106"/>
    <w:rsid w:val="004F76DF"/>
    <w:rsid w:val="004F7F86"/>
    <w:rsid w:val="00500140"/>
    <w:rsid w:val="00536A86"/>
    <w:rsid w:val="00545E6C"/>
    <w:rsid w:val="00557A2C"/>
    <w:rsid w:val="00561BCF"/>
    <w:rsid w:val="00562527"/>
    <w:rsid w:val="005859F2"/>
    <w:rsid w:val="005A59D3"/>
    <w:rsid w:val="005B21C6"/>
    <w:rsid w:val="005B5BEE"/>
    <w:rsid w:val="00610318"/>
    <w:rsid w:val="00641397"/>
    <w:rsid w:val="00646E06"/>
    <w:rsid w:val="0065476A"/>
    <w:rsid w:val="006C00C2"/>
    <w:rsid w:val="006C081D"/>
    <w:rsid w:val="006F4089"/>
    <w:rsid w:val="00716DC6"/>
    <w:rsid w:val="00717CFB"/>
    <w:rsid w:val="00722E8A"/>
    <w:rsid w:val="00735C19"/>
    <w:rsid w:val="007965C6"/>
    <w:rsid w:val="00797CF7"/>
    <w:rsid w:val="007A3C32"/>
    <w:rsid w:val="007A6AE4"/>
    <w:rsid w:val="007B1E2C"/>
    <w:rsid w:val="007B4061"/>
    <w:rsid w:val="007C3113"/>
    <w:rsid w:val="007C784B"/>
    <w:rsid w:val="007F171F"/>
    <w:rsid w:val="00822BC7"/>
    <w:rsid w:val="00824B8A"/>
    <w:rsid w:val="008320C5"/>
    <w:rsid w:val="00854AA1"/>
    <w:rsid w:val="008609CE"/>
    <w:rsid w:val="00883B81"/>
    <w:rsid w:val="00892BF8"/>
    <w:rsid w:val="008B5EB8"/>
    <w:rsid w:val="008C54ED"/>
    <w:rsid w:val="008E5F5A"/>
    <w:rsid w:val="008F320A"/>
    <w:rsid w:val="00914464"/>
    <w:rsid w:val="00915467"/>
    <w:rsid w:val="00931518"/>
    <w:rsid w:val="00931F4D"/>
    <w:rsid w:val="009400F6"/>
    <w:rsid w:val="009446B0"/>
    <w:rsid w:val="009574A1"/>
    <w:rsid w:val="00971C12"/>
    <w:rsid w:val="00974A47"/>
    <w:rsid w:val="009977A6"/>
    <w:rsid w:val="009A61F7"/>
    <w:rsid w:val="009B2C7F"/>
    <w:rsid w:val="009E3018"/>
    <w:rsid w:val="00A265F1"/>
    <w:rsid w:val="00A95CFA"/>
    <w:rsid w:val="00AB3742"/>
    <w:rsid w:val="00AF1125"/>
    <w:rsid w:val="00B17A07"/>
    <w:rsid w:val="00B2440A"/>
    <w:rsid w:val="00B27042"/>
    <w:rsid w:val="00B41CF8"/>
    <w:rsid w:val="00B47CDB"/>
    <w:rsid w:val="00B57EDF"/>
    <w:rsid w:val="00B60327"/>
    <w:rsid w:val="00B63DD4"/>
    <w:rsid w:val="00B80554"/>
    <w:rsid w:val="00B96181"/>
    <w:rsid w:val="00B97A2E"/>
    <w:rsid w:val="00BD628A"/>
    <w:rsid w:val="00BE62B7"/>
    <w:rsid w:val="00C2041B"/>
    <w:rsid w:val="00C4174B"/>
    <w:rsid w:val="00C47091"/>
    <w:rsid w:val="00C808E0"/>
    <w:rsid w:val="00CA5B74"/>
    <w:rsid w:val="00CE6EC4"/>
    <w:rsid w:val="00CE7AD3"/>
    <w:rsid w:val="00D01EF2"/>
    <w:rsid w:val="00D06596"/>
    <w:rsid w:val="00D32009"/>
    <w:rsid w:val="00D34B7F"/>
    <w:rsid w:val="00D605F2"/>
    <w:rsid w:val="00D65039"/>
    <w:rsid w:val="00D80EDD"/>
    <w:rsid w:val="00D94EB3"/>
    <w:rsid w:val="00DA152F"/>
    <w:rsid w:val="00DA5366"/>
    <w:rsid w:val="00E06F46"/>
    <w:rsid w:val="00E1568D"/>
    <w:rsid w:val="00E15F8E"/>
    <w:rsid w:val="00E25195"/>
    <w:rsid w:val="00E31CF4"/>
    <w:rsid w:val="00E424F3"/>
    <w:rsid w:val="00E4416E"/>
    <w:rsid w:val="00E6077D"/>
    <w:rsid w:val="00E902C9"/>
    <w:rsid w:val="00E9482B"/>
    <w:rsid w:val="00EA6FD6"/>
    <w:rsid w:val="00EC19EA"/>
    <w:rsid w:val="00EE50E7"/>
    <w:rsid w:val="00F15ABF"/>
    <w:rsid w:val="00F21A07"/>
    <w:rsid w:val="00F26726"/>
    <w:rsid w:val="00F36991"/>
    <w:rsid w:val="00F521FF"/>
    <w:rsid w:val="00FC0483"/>
    <w:rsid w:val="00FD2BF9"/>
    <w:rsid w:val="00FD6BD4"/>
    <w:rsid w:val="00FE4B05"/>
    <w:rsid w:val="00FF7E76"/>
    <w:rsid w:val="12CF7230"/>
    <w:rsid w:val="1D2DED31"/>
    <w:rsid w:val="6AEF2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DB810"/>
  <w15:chartTrackingRefBased/>
  <w15:docId w15:val="{EE420439-235D-4F22-8E52-77CC587AD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16DC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DC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DC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16DC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16DC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16DC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16DC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16DC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16DC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16DC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16DC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16DC6"/>
    <w:rPr>
      <w:rFonts w:eastAsiaTheme="majorEastAsia" w:cstheme="majorBidi"/>
      <w:color w:val="272727" w:themeColor="text1" w:themeTint="D8"/>
    </w:rPr>
  </w:style>
  <w:style w:type="paragraph" w:styleId="Title">
    <w:name w:val="Title"/>
    <w:basedOn w:val="Normal"/>
    <w:next w:val="Normal"/>
    <w:link w:val="TitleChar"/>
    <w:uiPriority w:val="10"/>
    <w:qFormat/>
    <w:rsid w:val="00716DC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16DC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16DC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16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DC6"/>
    <w:pPr>
      <w:spacing w:before="160"/>
      <w:jc w:val="center"/>
    </w:pPr>
    <w:rPr>
      <w:i/>
      <w:iCs/>
      <w:color w:val="404040" w:themeColor="text1" w:themeTint="BF"/>
    </w:rPr>
  </w:style>
  <w:style w:type="character" w:styleId="QuoteChar" w:customStyle="1">
    <w:name w:val="Quote Char"/>
    <w:basedOn w:val="DefaultParagraphFont"/>
    <w:link w:val="Quote"/>
    <w:uiPriority w:val="29"/>
    <w:rsid w:val="00716DC6"/>
    <w:rPr>
      <w:i/>
      <w:iCs/>
      <w:color w:val="404040" w:themeColor="text1" w:themeTint="BF"/>
    </w:rPr>
  </w:style>
  <w:style w:type="paragraph" w:styleId="ListParagraph">
    <w:name w:val="List Paragraph"/>
    <w:basedOn w:val="Normal"/>
    <w:uiPriority w:val="34"/>
    <w:qFormat/>
    <w:rsid w:val="00716DC6"/>
    <w:pPr>
      <w:ind w:left="720"/>
      <w:contextualSpacing/>
    </w:pPr>
  </w:style>
  <w:style w:type="character" w:styleId="IntenseEmphasis">
    <w:name w:val="Intense Emphasis"/>
    <w:basedOn w:val="DefaultParagraphFont"/>
    <w:uiPriority w:val="21"/>
    <w:qFormat/>
    <w:rsid w:val="00716DC6"/>
    <w:rPr>
      <w:i/>
      <w:iCs/>
      <w:color w:val="0F4761" w:themeColor="accent1" w:themeShade="BF"/>
    </w:rPr>
  </w:style>
  <w:style w:type="paragraph" w:styleId="IntenseQuote">
    <w:name w:val="Intense Quote"/>
    <w:basedOn w:val="Normal"/>
    <w:next w:val="Normal"/>
    <w:link w:val="IntenseQuoteChar"/>
    <w:uiPriority w:val="30"/>
    <w:qFormat/>
    <w:rsid w:val="00716DC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16DC6"/>
    <w:rPr>
      <w:i/>
      <w:iCs/>
      <w:color w:val="0F4761" w:themeColor="accent1" w:themeShade="BF"/>
    </w:rPr>
  </w:style>
  <w:style w:type="character" w:styleId="IntenseReference">
    <w:name w:val="Intense Reference"/>
    <w:basedOn w:val="DefaultParagraphFont"/>
    <w:uiPriority w:val="32"/>
    <w:qFormat/>
    <w:rsid w:val="00716DC6"/>
    <w:rPr>
      <w:b/>
      <w:bCs/>
      <w:smallCaps/>
      <w:color w:val="0F4761" w:themeColor="accent1" w:themeShade="BF"/>
      <w:spacing w:val="5"/>
    </w:rPr>
  </w:style>
  <w:style w:type="character" w:styleId="CommentReference">
    <w:name w:val="annotation reference"/>
    <w:basedOn w:val="DefaultParagraphFont"/>
    <w:uiPriority w:val="99"/>
    <w:semiHidden/>
    <w:unhideWhenUsed/>
    <w:rsid w:val="00B2440A"/>
    <w:rPr>
      <w:sz w:val="16"/>
      <w:szCs w:val="16"/>
    </w:rPr>
  </w:style>
  <w:style w:type="paragraph" w:styleId="CommentText">
    <w:name w:val="annotation text"/>
    <w:basedOn w:val="Normal"/>
    <w:link w:val="CommentTextChar"/>
    <w:uiPriority w:val="99"/>
    <w:unhideWhenUsed/>
    <w:rsid w:val="00B2440A"/>
    <w:pPr>
      <w:spacing w:line="240" w:lineRule="auto"/>
    </w:pPr>
    <w:rPr>
      <w:sz w:val="20"/>
      <w:szCs w:val="20"/>
    </w:rPr>
  </w:style>
  <w:style w:type="character" w:styleId="CommentTextChar" w:customStyle="1">
    <w:name w:val="Comment Text Char"/>
    <w:basedOn w:val="DefaultParagraphFont"/>
    <w:link w:val="CommentText"/>
    <w:uiPriority w:val="99"/>
    <w:rsid w:val="00B2440A"/>
    <w:rPr>
      <w:sz w:val="20"/>
      <w:szCs w:val="20"/>
    </w:rPr>
  </w:style>
  <w:style w:type="paragraph" w:styleId="CommentSubject">
    <w:name w:val="annotation subject"/>
    <w:basedOn w:val="CommentText"/>
    <w:next w:val="CommentText"/>
    <w:link w:val="CommentSubjectChar"/>
    <w:uiPriority w:val="99"/>
    <w:semiHidden/>
    <w:unhideWhenUsed/>
    <w:rsid w:val="00B2440A"/>
    <w:rPr>
      <w:b/>
      <w:bCs/>
    </w:rPr>
  </w:style>
  <w:style w:type="character" w:styleId="CommentSubjectChar" w:customStyle="1">
    <w:name w:val="Comment Subject Char"/>
    <w:basedOn w:val="CommentTextChar"/>
    <w:link w:val="CommentSubject"/>
    <w:uiPriority w:val="99"/>
    <w:semiHidden/>
    <w:rsid w:val="00B2440A"/>
    <w:rPr>
      <w:b/>
      <w:bCs/>
      <w:sz w:val="20"/>
      <w:szCs w:val="20"/>
    </w:rPr>
  </w:style>
  <w:style w:type="character" w:styleId="Hyperlink">
    <w:name w:val="Hyperlink"/>
    <w:basedOn w:val="DefaultParagraphFont"/>
    <w:uiPriority w:val="99"/>
    <w:unhideWhenUsed/>
    <w:rsid w:val="007A3C32"/>
    <w:rPr>
      <w:color w:val="467886" w:themeColor="hyperlink"/>
      <w:u w:val="single"/>
    </w:rPr>
  </w:style>
  <w:style w:type="character" w:styleId="UnresolvedMention">
    <w:name w:val="Unresolved Mention"/>
    <w:basedOn w:val="DefaultParagraphFont"/>
    <w:uiPriority w:val="99"/>
    <w:semiHidden/>
    <w:unhideWhenUsed/>
    <w:rsid w:val="007A3C32"/>
    <w:rPr>
      <w:color w:val="605E5C"/>
      <w:shd w:val="clear" w:color="auto" w:fill="E1DFDD"/>
    </w:rPr>
  </w:style>
  <w:style w:type="paragraph" w:styleId="isselectedend" w:customStyle="1">
    <w:name w:val="isselectedend"/>
    <w:basedOn w:val="Normal"/>
    <w:rsid w:val="00E15F8E"/>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FollowedHyperlink">
    <w:name w:val="FollowedHyperlink"/>
    <w:basedOn w:val="DefaultParagraphFont"/>
    <w:uiPriority w:val="99"/>
    <w:semiHidden/>
    <w:unhideWhenUsed/>
    <w:rsid w:val="00D06596"/>
    <w:rPr>
      <w:color w:val="96607D" w:themeColor="followedHyperlink"/>
      <w:u w:val="single"/>
    </w:rPr>
  </w:style>
  <w:style w:type="paragraph" w:styleId="Header">
    <w:name w:val="header"/>
    <w:basedOn w:val="Normal"/>
    <w:link w:val="HeaderChar"/>
    <w:uiPriority w:val="99"/>
    <w:unhideWhenUsed/>
    <w:rsid w:val="00971C12"/>
    <w:pPr>
      <w:tabs>
        <w:tab w:val="center" w:pos="4680"/>
        <w:tab w:val="right" w:pos="9360"/>
      </w:tabs>
      <w:spacing w:after="0" w:line="240" w:lineRule="auto"/>
    </w:pPr>
  </w:style>
  <w:style w:type="character" w:styleId="HeaderChar" w:customStyle="1">
    <w:name w:val="Header Char"/>
    <w:basedOn w:val="DefaultParagraphFont"/>
    <w:link w:val="Header"/>
    <w:uiPriority w:val="99"/>
    <w:rsid w:val="00971C12"/>
  </w:style>
  <w:style w:type="paragraph" w:styleId="Footer">
    <w:name w:val="footer"/>
    <w:basedOn w:val="Normal"/>
    <w:link w:val="FooterChar"/>
    <w:uiPriority w:val="99"/>
    <w:unhideWhenUsed/>
    <w:rsid w:val="00971C12"/>
    <w:pPr>
      <w:tabs>
        <w:tab w:val="center" w:pos="4680"/>
        <w:tab w:val="right" w:pos="9360"/>
      </w:tabs>
      <w:spacing w:after="0" w:line="240" w:lineRule="auto"/>
    </w:pPr>
  </w:style>
  <w:style w:type="character" w:styleId="FooterChar" w:customStyle="1">
    <w:name w:val="Footer Char"/>
    <w:basedOn w:val="DefaultParagraphFont"/>
    <w:link w:val="Footer"/>
    <w:uiPriority w:val="99"/>
    <w:rsid w:val="00971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13" /><Relationship Type="http://schemas.openxmlformats.org/officeDocument/2006/relationships/hyperlink" Target="https://jamanetwork.com/journals/jama/fullarticle/2775287" TargetMode="External" Id="rId26" /><Relationship Type="http://schemas.openxmlformats.org/officeDocument/2006/relationships/hyperlink" Target="https://journals.lww.com/ajg/fulltext/2021/05000/acg_clinical_guideline__upper_gastrointestinal_and.14.aspx" TargetMode="External" Id="rId39" /><Relationship Type="http://schemas.openxmlformats.org/officeDocument/2006/relationships/hyperlink" Target="https://www.jacc.org/doi/10.1016/j.jacc.2021.12.012" TargetMode="External" Id="rId21" /><Relationship Type="http://schemas.openxmlformats.org/officeDocument/2006/relationships/hyperlink" Target="https://professional.diabetes.org/standards-of-care" TargetMode="External" Id="rId34" /><Relationship Type="http://schemas.microsoft.com/office/2011/relationships/people" Target="people.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www.ahajournals.org/doi/10.1161/CIR.0000000000001423" TargetMode="External" Id="rId16" /><Relationship Type="http://schemas.openxmlformats.org/officeDocument/2006/relationships/hyperlink" Target="https://goldcopd.org/wp-content/uploads/2026/01/GOLD-REPORT-2026-v1.3-8Dec2025_WMV2.pdf" TargetMode="External" Id="rId20" /><Relationship Type="http://schemas.openxmlformats.org/officeDocument/2006/relationships/hyperlink" Target="https://sccm.org/survivingsepsiscampaign/guidelines-and-resources/surviving-sepsis-campaign-adult-guidelines" TargetMode="External"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hyperlink" Target="https://www.acpjournals.org/doi/full/10.7326/M22-2056" TargetMode="External" Id="rId24" /><Relationship Type="http://schemas.openxmlformats.org/officeDocument/2006/relationships/hyperlink" Target="https://www.ahajournals.org/doi/10.1161/str.0000000000000211" TargetMode="External" Id="rId32" /><Relationship Type="http://schemas.openxmlformats.org/officeDocument/2006/relationships/hyperlink" Target="https://goldcopd.org/wp-content/uploads/2026/01/GOLD-REPORT-2026-v1.3-8Dec2025_WMV2.pdf" TargetMode="External" Id="rId37" /><Relationship Type="http://schemas.openxmlformats.org/officeDocument/2006/relationships/footer" Target="footer1.xml" Id="rId40" /><Relationship Type="http://schemas.openxmlformats.org/officeDocument/2006/relationships/styles" Target="styles.xml" Id="rId5" /><Relationship Type="http://schemas.openxmlformats.org/officeDocument/2006/relationships/hyperlink" Target="https://professional.diabetes.org/standards-of-care" TargetMode="External" Id="rId15" /><Relationship Type="http://schemas.openxmlformats.org/officeDocument/2006/relationships/hyperlink" Target="https://journal.chestnet.org/article/S0012-3692(21)01506-3/fulltext" TargetMode="External" Id="rId23" /><Relationship Type="http://schemas.openxmlformats.org/officeDocument/2006/relationships/hyperlink" Target="https://www.idsociety.org/practice-guideline/community-acquired-pneumonia-cap-in-adults" TargetMode="External" Id="rId28" /><Relationship Type="http://schemas.openxmlformats.org/officeDocument/2006/relationships/hyperlink" Target="https://goldcopd.org/2026-gold-report-and-pocket-guide" TargetMode="External" Id="rId36" /><Relationship Type="http://schemas.openxmlformats.org/officeDocument/2006/relationships/comments" Target="comments.xml" Id="rId10" /><Relationship Type="http://schemas.openxmlformats.org/officeDocument/2006/relationships/hyperlink" Target="https://goldcopd.org/2026-gold-report-and-pocket-guide" TargetMode="External" Id="rId19" /><Relationship Type="http://schemas.openxmlformats.org/officeDocument/2006/relationships/hyperlink" Target="https://professional.heart.org/en/guidelines-statements/2025-accahaacepnaemspscai-guideline-for-the-management-of-patients-with-acutecir0000000000001309" TargetMode="Externa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ahajournals.org/doi/10.1161/CIR.0000000000001356" TargetMode="External" Id="rId14" /><Relationship Type="http://schemas.openxmlformats.org/officeDocument/2006/relationships/hyperlink" Target="https://www.ahajournals.org/doi/10.1161/CIR.0000000000001193" TargetMode="External" Id="rId22" /><Relationship Type="http://schemas.openxmlformats.org/officeDocument/2006/relationships/hyperlink" Target="https://www.healthquality.va.gov/HEALTHQUALITY/guidelines/CD/tobacco/Tobacco-Cessation-CPG_2026-Guideline_final_20260109.pdf" TargetMode="External" Id="rId27" /><Relationship Type="http://schemas.openxmlformats.org/officeDocument/2006/relationships/hyperlink" Target="https://professional.heart.org/en/guidelines-and-statements/clinical-guidelines-and-recommendations/heart-failure" TargetMode="External" Id="rId30" /><Relationship Type="http://schemas.openxmlformats.org/officeDocument/2006/relationships/hyperlink" Target="https://www.ahajournals.org/doi/10.1161/CIR.0000000000001193" TargetMode="External" Id="rId35" /><Relationship Type="http://schemas.openxmlformats.org/officeDocument/2006/relationships/theme" Target="theme/theme1.xml" Id="rId43" /><Relationship Type="http://schemas.openxmlformats.org/officeDocument/2006/relationships/footnotes" Target="footnotes.xml" Id="rId8" /><Relationship Type="http://schemas.openxmlformats.org/officeDocument/2006/relationships/customXml" Target="../customXml/item3.xml" Id="rId3" /><Relationship Type="http://schemas.microsoft.com/office/2016/09/relationships/commentsIds" Target="commentsIds.xml" Id="rId12" /><Relationship Type="http://schemas.openxmlformats.org/officeDocument/2006/relationships/hyperlink" Target="https://jamanetwork.com/journals/jama/fullarticle/2806251" TargetMode="External" Id="rId25" /><Relationship Type="http://schemas.openxmlformats.org/officeDocument/2006/relationships/hyperlink" Target="https://www.stroke.org/-/media/Stroke-Files/Ischemic-Stroke-Professional-Materials/AIS-Toolkit/Guidelines-for-Mangaging-Patients-with-AIS-2019-Update-to-2018-Guidelines.pdf" TargetMode="External" Id="rId33" /><Relationship Type="http://schemas.openxmlformats.org/officeDocument/2006/relationships/hyperlink" Target="https://kdigo.org/guidelines/acute-kidney-injury" TargetMode="External" Id="rId38" /><Relationship Type="http://schemas.openxmlformats.org/officeDocument/2006/relationships/hyperlink" Target="https://kdigo.org/guidelines/ckd-evaluation-and-management" TargetMode="External" Id="Rb6ba70007fb9404c" /><Relationship Type="http://schemas.openxmlformats.org/officeDocument/2006/relationships/hyperlink" Target="https://kdigo.org/wp-content/uploads/2024/03/KDIGO-2024-CKD-Guideline.pdf" TargetMode="External" Id="R4a26a9c3c020419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895C67-88F0-49C1-AF4E-2E7504A96FDF}"/>
</file>

<file path=customXml/itemProps2.xml><?xml version="1.0" encoding="utf-8"?>
<ds:datastoreItem xmlns:ds="http://schemas.openxmlformats.org/officeDocument/2006/customXml" ds:itemID="{1592AFD6-5C4F-42B9-9660-26E5DF1168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DCF389-28C4-4F2B-8F99-5B3D7972BB9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Oakes</dc:creator>
  <cp:keywords/>
  <dc:description/>
  <cp:lastModifiedBy>alyssa.oakes@ttuhsc.edu</cp:lastModifiedBy>
  <cp:revision>9</cp:revision>
  <dcterms:created xsi:type="dcterms:W3CDTF">2026-06-04T03:38:00Z</dcterms:created>
  <dcterms:modified xsi:type="dcterms:W3CDTF">2026-06-10T19:30:16Z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y fmtid="{D5CDD505-2E9C-101B-9397-08002B2CF9AE}" pid="3" name="GrammarlyDocumentId">
    <vt:lpwstr>b826d93d-eb9f-4f1f-ace3-f1ba80a4d025</vt:lpwstr>
  </property>
</Properties>
</file>