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DFA4A01" wp14:paraId="7C5D1AA3" wp14:textId="70B89B0F">
      <w:pPr>
        <w:pStyle w:val="Heading1"/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Week 1 Type 2 Diabetes Teaching Summary</w:t>
      </w:r>
    </w:p>
    <w:p xmlns:wp14="http://schemas.microsoft.com/office/word/2010/wordml" w:rsidP="7DFA4A01" wp14:paraId="2966299E" wp14:textId="28E27187">
      <w:pPr>
        <w:pStyle w:val="Heading2"/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Glycemic Goals</w:t>
      </w:r>
    </w:p>
    <w:p xmlns:wp14="http://schemas.microsoft.com/office/word/2010/wordml" wp14:paraId="193195C1" wp14:textId="7AE31703"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General Goal:</w:t>
      </w:r>
    </w:p>
    <w:p xmlns:wp14="http://schemas.microsoft.com/office/word/2010/wordml" wp14:paraId="436B18E4" wp14:textId="34819B72"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A1c &lt;7%</w:t>
      </w:r>
    </w:p>
    <w:p xmlns:wp14="http://schemas.microsoft.com/office/word/2010/wordml" wp14:paraId="7ABCDD9A" wp14:textId="7EABF0E6"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Goals should be individualized based on:</w:t>
      </w:r>
    </w:p>
    <w:p xmlns:wp14="http://schemas.microsoft.com/office/word/2010/wordml" w:rsidP="7DFA4A01" wp14:paraId="40C153C7" wp14:textId="6D055CA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Age</w:t>
      </w:r>
    </w:p>
    <w:p xmlns:wp14="http://schemas.microsoft.com/office/word/2010/wordml" w:rsidP="7DFA4A01" wp14:paraId="45D2ADB5" wp14:textId="19B6CA7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Comorbidities</w:t>
      </w:r>
    </w:p>
    <w:p xmlns:wp14="http://schemas.microsoft.com/office/word/2010/wordml" w:rsidP="7DFA4A01" wp14:paraId="47E4933F" wp14:textId="73EA3F2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Life expectancy</w:t>
      </w:r>
    </w:p>
    <w:p xmlns:wp14="http://schemas.microsoft.com/office/word/2010/wordml" w:rsidP="7DFA4A01" wp14:paraId="3A222558" wp14:textId="630EC36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Hypoglycemia risk</w:t>
      </w:r>
    </w:p>
    <w:p xmlns:wp14="http://schemas.microsoft.com/office/word/2010/wordml" w:rsidP="7DFA4A01" wp14:paraId="52417993" wp14:textId="67FF2F9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Patient preferences</w:t>
      </w:r>
    </w:p>
    <w:p xmlns:wp14="http://schemas.microsoft.com/office/word/2010/wordml" w:rsidP="7DFA4A01" wp14:paraId="49AD1254" wp14:textId="68B6958F">
      <w:pPr>
        <w:pStyle w:val="Heading2"/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Initial Evaluation</w:t>
      </w:r>
    </w:p>
    <w:p xmlns:wp14="http://schemas.microsoft.com/office/word/2010/wordml" wp14:paraId="583C15EB" wp14:textId="0A017F7C"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Assess:</w:t>
      </w:r>
    </w:p>
    <w:p xmlns:wp14="http://schemas.microsoft.com/office/word/2010/wordml" w:rsidP="7DFA4A01" wp14:paraId="6AF140CF" wp14:textId="2C7A89F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A1c</w:t>
      </w:r>
    </w:p>
    <w:p xmlns:wp14="http://schemas.microsoft.com/office/word/2010/wordml" w:rsidP="7DFA4A01" wp14:paraId="6C9D9939" wp14:textId="5AF6F89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eGFR</w:t>
      </w:r>
    </w:p>
    <w:p xmlns:wp14="http://schemas.microsoft.com/office/word/2010/wordml" w:rsidP="7DFA4A01" wp14:paraId="7EDC4686" wp14:textId="45BBAB2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UACR</w:t>
      </w:r>
    </w:p>
    <w:p xmlns:wp14="http://schemas.microsoft.com/office/word/2010/wordml" w:rsidP="7DFA4A01" wp14:paraId="3C705244" wp14:textId="74C7092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Weight/BMI</w:t>
      </w:r>
    </w:p>
    <w:p xmlns:wp14="http://schemas.microsoft.com/office/word/2010/wordml" w:rsidP="7DFA4A01" wp14:paraId="01FB6A3A" wp14:textId="4BEEB15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ASCVD history</w:t>
      </w:r>
    </w:p>
    <w:p xmlns:wp14="http://schemas.microsoft.com/office/word/2010/wordml" w:rsidP="7DFA4A01" wp14:paraId="17D87C7E" wp14:textId="49E4A23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Heart failure history</w:t>
      </w:r>
    </w:p>
    <w:p xmlns:wp14="http://schemas.microsoft.com/office/word/2010/wordml" w:rsidP="7DFA4A01" wp14:paraId="73FF0F76" wp14:textId="0BB844C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CKD status</w:t>
      </w:r>
    </w:p>
    <w:p xmlns:wp14="http://schemas.microsoft.com/office/word/2010/wordml" w:rsidP="7DFA4A01" wp14:paraId="4AB43644" wp14:textId="3A7DAFA9">
      <w:pPr>
        <w:pStyle w:val="Heading2"/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First-Line Therapy</w:t>
      </w:r>
    </w:p>
    <w:p xmlns:wp14="http://schemas.microsoft.com/office/word/2010/wordml" wp14:paraId="37961E96" wp14:textId="6DAAB7F1"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Most patients:</w:t>
      </w:r>
    </w:p>
    <w:p xmlns:wp14="http://schemas.microsoft.com/office/word/2010/wordml" wp14:paraId="68B3F30B" wp14:textId="4117FFA1"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Metformin + lifestyle modification</w:t>
      </w:r>
    </w:p>
    <w:p xmlns:wp14="http://schemas.microsoft.com/office/word/2010/wordml" wp14:paraId="3C27C556" wp14:textId="2DB05A56"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Exceptions occur when:</w:t>
      </w:r>
    </w:p>
    <w:p xmlns:wp14="http://schemas.microsoft.com/office/word/2010/wordml" w:rsidP="7DFA4A01" wp14:paraId="7997DA6E" wp14:textId="2187C67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ASCVD predominates</w:t>
      </w:r>
    </w:p>
    <w:p xmlns:wp14="http://schemas.microsoft.com/office/word/2010/wordml" w:rsidP="7DFA4A01" wp14:paraId="1C5CFF7A" wp14:textId="5960D3C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CKD predominates</w:t>
      </w:r>
    </w:p>
    <w:p xmlns:wp14="http://schemas.microsoft.com/office/word/2010/wordml" w:rsidP="7DFA4A01" wp14:paraId="3E6A3234" wp14:textId="1F3E63B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Heart failure predominates</w:t>
      </w:r>
    </w:p>
    <w:p xmlns:wp14="http://schemas.microsoft.com/office/word/2010/wordml" w:rsidP="7DFA4A01" wp14:paraId="58F6FE88" wp14:textId="45B8713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Significant obesity is present</w:t>
      </w:r>
    </w:p>
    <w:p xmlns:wp14="http://schemas.microsoft.com/office/word/2010/wordml" w:rsidP="7DFA4A01" wp14:paraId="1BCCBABC" wp14:textId="1BA96A71">
      <w:pPr>
        <w:pStyle w:val="Heading2"/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GLP-1 Receptor Agonists</w:t>
      </w:r>
    </w:p>
    <w:p xmlns:wp14="http://schemas.microsoft.com/office/word/2010/wordml" wp14:paraId="477B1716" wp14:textId="1AD03C58"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Benefits:</w:t>
      </w:r>
    </w:p>
    <w:p xmlns:wp14="http://schemas.microsoft.com/office/word/2010/wordml" w:rsidP="7DFA4A01" wp14:paraId="675E8249" wp14:textId="22600E3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Weight loss</w:t>
      </w:r>
    </w:p>
    <w:p xmlns:wp14="http://schemas.microsoft.com/office/word/2010/wordml" w:rsidP="7DFA4A01" wp14:paraId="281B5B71" wp14:textId="6D79890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A1c reduction</w:t>
      </w:r>
    </w:p>
    <w:p xmlns:wp14="http://schemas.microsoft.com/office/word/2010/wordml" w:rsidP="7DFA4A01" wp14:paraId="2440AD52" wp14:textId="66F0E24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ASCVD benefit</w:t>
      </w:r>
    </w:p>
    <w:p xmlns:wp14="http://schemas.microsoft.com/office/word/2010/wordml" wp14:paraId="283D2A60" wp14:textId="00043C07"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7DFA4A01" wp14:paraId="6E6A299E" wp14:textId="7F73F2B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Semaglutide</w:t>
      </w:r>
    </w:p>
    <w:p xmlns:wp14="http://schemas.microsoft.com/office/word/2010/wordml" w:rsidP="7DFA4A01" wp14:paraId="2EAAC7F0" wp14:textId="600D55F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Tirzepatide</w:t>
      </w:r>
    </w:p>
    <w:p xmlns:wp14="http://schemas.microsoft.com/office/word/2010/wordml" w:rsidP="7DFA4A01" wp14:paraId="55A46336" wp14:textId="36182A8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Dulaglutide</w:t>
      </w:r>
    </w:p>
    <w:p xmlns:wp14="http://schemas.microsoft.com/office/word/2010/wordml" w:rsidP="7DFA4A01" wp14:paraId="223091E7" wp14:textId="4CBFED37">
      <w:pPr>
        <w:pStyle w:val="Heading2"/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SGLT2 Inhibitors</w:t>
      </w:r>
    </w:p>
    <w:p xmlns:wp14="http://schemas.microsoft.com/office/word/2010/wordml" wp14:paraId="76911CF4" wp14:textId="2B00D480"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Benefits:</w:t>
      </w:r>
    </w:p>
    <w:p xmlns:wp14="http://schemas.microsoft.com/office/word/2010/wordml" w:rsidP="7DFA4A01" wp14:paraId="3337861B" wp14:textId="39AB22A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Kidney protection</w:t>
      </w:r>
    </w:p>
    <w:p xmlns:wp14="http://schemas.microsoft.com/office/word/2010/wordml" w:rsidP="7DFA4A01" wp14:paraId="35EDBF9D" wp14:textId="0EF7EB4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Heart failure benefit</w:t>
      </w:r>
    </w:p>
    <w:p xmlns:wp14="http://schemas.microsoft.com/office/word/2010/wordml" w:rsidP="7DFA4A01" wp14:paraId="17FD1C00" wp14:textId="51C29CB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Cardiovascular benefit</w:t>
      </w:r>
    </w:p>
    <w:p xmlns:wp14="http://schemas.microsoft.com/office/word/2010/wordml" wp14:paraId="7963574A" wp14:textId="3D376D69"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7DFA4A01" wp14:paraId="0F09B25F" wp14:textId="3FB8FB9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Empagliflozin</w:t>
      </w:r>
    </w:p>
    <w:p xmlns:wp14="http://schemas.microsoft.com/office/word/2010/wordml" w:rsidP="7DFA4A01" wp14:paraId="60F69B3B" wp14:textId="22B8EFD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Dapagliflozin</w:t>
      </w:r>
    </w:p>
    <w:p xmlns:wp14="http://schemas.microsoft.com/office/word/2010/wordml" w:rsidP="7DFA4A01" wp14:paraId="2DABD4A4" wp14:textId="76499971">
      <w:pPr>
        <w:pStyle w:val="Heading2"/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Cardiorenal Protection</w:t>
      </w:r>
    </w:p>
    <w:p xmlns:wp14="http://schemas.microsoft.com/office/word/2010/wordml" wp14:paraId="598AC4A9" wp14:textId="79167C4A"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Presence of CKD, ASCVD, or HF should influence therapy selection independent of A1c goals.</w:t>
      </w:r>
    </w:p>
    <w:p xmlns:wp14="http://schemas.microsoft.com/office/word/2010/wordml" w:rsidP="7DFA4A01" wp14:paraId="1C4392C1" wp14:textId="4E9B92B4">
      <w:pPr>
        <w:pStyle w:val="Heading2"/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Statin Therapy</w:t>
      </w:r>
    </w:p>
    <w:p xmlns:wp14="http://schemas.microsoft.com/office/word/2010/wordml" wp14:paraId="67F0D988" wp14:textId="1721D442"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Most adults age 40–75 years with diabetes should receive statin therapy.</w:t>
      </w:r>
    </w:p>
    <w:p xmlns:wp14="http://schemas.microsoft.com/office/word/2010/wordml" w:rsidP="7DFA4A01" wp14:paraId="5718D2C5" wp14:textId="55920A15">
      <w:pPr>
        <w:pStyle w:val="Heading2"/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Monitoring</w:t>
      </w:r>
    </w:p>
    <w:p xmlns:wp14="http://schemas.microsoft.com/office/word/2010/wordml" w:rsidP="7DFA4A01" wp14:paraId="7E054DED" wp14:textId="13B8860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A1c every 3 months until controlled</w:t>
      </w:r>
    </w:p>
    <w:p xmlns:wp14="http://schemas.microsoft.com/office/word/2010/wordml" w:rsidP="7DFA4A01" wp14:paraId="27F0F35A" wp14:textId="392640E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eGFR</w:t>
      </w:r>
    </w:p>
    <w:p xmlns:wp14="http://schemas.microsoft.com/office/word/2010/wordml" w:rsidP="7DFA4A01" wp14:paraId="4121171A" wp14:textId="3D3ECE8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UACR</w:t>
      </w:r>
    </w:p>
    <w:p xmlns:wp14="http://schemas.microsoft.com/office/word/2010/wordml" w:rsidP="7DFA4A01" wp14:paraId="32FBE442" wp14:textId="15FB47A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SMBG or CGM when appropriate</w:t>
      </w:r>
    </w:p>
    <w:p xmlns:wp14="http://schemas.microsoft.com/office/word/2010/wordml" w:rsidP="7DFA4A01" wp14:paraId="57BBB13E" wp14:textId="7FFAF7C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Weight</w:t>
      </w:r>
    </w:p>
    <w:p xmlns:wp14="http://schemas.microsoft.com/office/word/2010/wordml" w:rsidP="7DFA4A01" wp14:paraId="28B7CBE6" wp14:textId="7235715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Blood pressure</w:t>
      </w:r>
    </w:p>
    <w:p xmlns:wp14="http://schemas.microsoft.com/office/word/2010/wordml" w:rsidP="7DFA4A01" wp14:paraId="74248446" wp14:textId="50B45492">
      <w:pPr>
        <w:pStyle w:val="Heading2"/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Lifestyle Counseling</w:t>
      </w:r>
    </w:p>
    <w:p xmlns:wp14="http://schemas.microsoft.com/office/word/2010/wordml" w:rsidP="7DFA4A01" wp14:paraId="16328203" wp14:textId="6D991E9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Nutrition optimization</w:t>
      </w:r>
    </w:p>
    <w:p xmlns:wp14="http://schemas.microsoft.com/office/word/2010/wordml" w:rsidP="7DFA4A01" wp14:paraId="4263179B" wp14:textId="7992339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Physical activity</w:t>
      </w:r>
    </w:p>
    <w:p xmlns:wp14="http://schemas.microsoft.com/office/word/2010/wordml" w:rsidP="7DFA4A01" wp14:paraId="702C937E" wp14:textId="20C2864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Weight management</w:t>
      </w:r>
    </w:p>
    <w:p xmlns:wp14="http://schemas.microsoft.com/office/word/2010/wordml" w:rsidP="7DFA4A01" wp14:paraId="4481FA02" wp14:textId="108FA10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Smoking cessation</w:t>
      </w:r>
    </w:p>
    <w:p xmlns:wp14="http://schemas.microsoft.com/office/word/2010/wordml" w:rsidP="7DFA4A01" wp14:paraId="7370B778" wp14:textId="34FA49FD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Medication adherence</w:t>
      </w:r>
    </w:p>
    <w:p xmlns:wp14="http://schemas.microsoft.com/office/word/2010/wordml" w:rsidP="7DFA4A01" wp14:paraId="0DB31369" wp14:textId="56C8F611">
      <w:pPr>
        <w:pStyle w:val="Heading2"/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Pharmacist-Specific Interventions</w:t>
      </w:r>
    </w:p>
    <w:p xmlns:wp14="http://schemas.microsoft.com/office/word/2010/wordml" w:rsidP="7DFA4A01" wp14:paraId="6E37997C" wp14:textId="2B74408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Therapy optimization</w:t>
      </w:r>
    </w:p>
    <w:p xmlns:wp14="http://schemas.microsoft.com/office/word/2010/wordml" w:rsidP="7DFA4A01" wp14:paraId="369A7407" wp14:textId="00F4219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Injection training</w:t>
      </w:r>
    </w:p>
    <w:p xmlns:wp14="http://schemas.microsoft.com/office/word/2010/wordml" w:rsidP="7DFA4A01" wp14:paraId="010DD504" wp14:textId="66FDD00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Adherence assessment</w:t>
      </w:r>
    </w:p>
    <w:p xmlns:wp14="http://schemas.microsoft.com/office/word/2010/wordml" w:rsidP="7DFA4A01" wp14:paraId="6A0E1F1F" wp14:textId="390FBBB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Insurance navigation</w:t>
      </w:r>
    </w:p>
    <w:p xmlns:wp14="http://schemas.microsoft.com/office/word/2010/wordml" w:rsidP="7DFA4A01" wp14:paraId="4CF440F3" wp14:textId="1D3280F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Monitoring plan development</w:t>
      </w:r>
    </w:p>
    <w:p xmlns:wp14="http://schemas.microsoft.com/office/word/2010/wordml" w:rsidP="7DFA4A01" wp14:paraId="5574386F" wp14:textId="4A27E52D">
      <w:pPr>
        <w:pStyle w:val="Heading2"/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Common Student Mistakes</w:t>
      </w:r>
    </w:p>
    <w:p xmlns:wp14="http://schemas.microsoft.com/office/word/2010/wordml" w:rsidP="7DFA4A01" wp14:paraId="4F16ABBA" wp14:textId="3A59B6D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Focusing only on A1c</w:t>
      </w:r>
    </w:p>
    <w:p xmlns:wp14="http://schemas.microsoft.com/office/word/2010/wordml" w:rsidP="7DFA4A01" wp14:paraId="1E1D8AE4" wp14:textId="61339C1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Ignoring ASCVD risk</w:t>
      </w:r>
    </w:p>
    <w:p xmlns:wp14="http://schemas.microsoft.com/office/word/2010/wordml" w:rsidP="7DFA4A01" wp14:paraId="5B09DF06" wp14:textId="6E8E8DB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Ignoring CKD status</w:t>
      </w:r>
    </w:p>
    <w:p xmlns:wp14="http://schemas.microsoft.com/office/word/2010/wordml" w:rsidP="7DFA4A01" wp14:paraId="38560434" wp14:textId="78F6BC8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Delaying treatment intensification</w:t>
      </w:r>
    </w:p>
    <w:p xmlns:wp14="http://schemas.microsoft.com/office/word/2010/wordml" w:rsidP="7DFA4A01" wp14:paraId="194BAD79" wp14:textId="1AF04FE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Missing statin indications</w:t>
      </w:r>
    </w:p>
    <w:p xmlns:wp14="http://schemas.microsoft.com/office/word/2010/wordml" w:rsidP="7DFA4A01" wp14:paraId="3EE27341" wp14:textId="2018442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Missing kidney-protective therapies</w:t>
      </w:r>
    </w:p>
    <w:p xmlns:wp14="http://schemas.microsoft.com/office/word/2010/wordml" w:rsidP="7DFA4A01" wp14:paraId="767B666D" wp14:textId="018F9D8F">
      <w:pPr>
        <w:pStyle w:val="Heading2"/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Escalation Points</w:t>
      </w:r>
    </w:p>
    <w:p xmlns:wp14="http://schemas.microsoft.com/office/word/2010/wordml" w:rsidP="7DFA4A01" wp14:paraId="095332AC" wp14:textId="43190C5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A1c &gt;9%</w:t>
      </w:r>
    </w:p>
    <w:p xmlns:wp14="http://schemas.microsoft.com/office/word/2010/wordml" w:rsidP="7DFA4A01" wp14:paraId="2E5A98EE" wp14:textId="00987E5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Symptomatic hyperglycemia</w:t>
      </w:r>
    </w:p>
    <w:p xmlns:wp14="http://schemas.microsoft.com/office/word/2010/wordml" w:rsidP="7DFA4A01" wp14:paraId="6C648D66" wp14:textId="3529A29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Progressive CKD</w:t>
      </w:r>
    </w:p>
    <w:p xmlns:wp14="http://schemas.microsoft.com/office/word/2010/wordml" w:rsidP="7DFA4A01" wp14:paraId="65DCD5C6" wp14:textId="3129AA0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Recurrent hypoglycemia</w:t>
      </w:r>
    </w:p>
    <w:p xmlns:wp14="http://schemas.microsoft.com/office/word/2010/wordml" w:rsidP="7DFA4A01" wp14:paraId="10C1409E" wp14:textId="6CA4C18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FA4A01" w:rsidR="79C081D0">
        <w:rPr>
          <w:rFonts w:ascii="Aptos" w:hAnsi="Aptos" w:eastAsia="Aptos" w:cs="Aptos"/>
          <w:noProof w:val="0"/>
          <w:sz w:val="24"/>
          <w:szCs w:val="24"/>
          <w:lang w:val="en-US"/>
        </w:rPr>
        <w:t>Failure of dual therapy</w:t>
      </w:r>
    </w:p>
    <w:p xmlns:wp14="http://schemas.microsoft.com/office/word/2010/wordml" wp14:paraId="2C078E63" wp14:textId="3BA7963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103bcf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5d5fd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9b0f7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8ae99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65f00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e0fcf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e80c2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ea69c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b28ba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f369e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a26b0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4f9d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53222E"/>
    <w:rsid w:val="3B53222E"/>
    <w:rsid w:val="79C081D0"/>
    <w:rsid w:val="7DFA4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60972"/>
  <w15:chartTrackingRefBased/>
  <w15:docId w15:val="{627E71B9-4378-4ABE-8C09-91DDF3B81A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28c70d24f4942e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7" ma:contentTypeDescription="Create a new document." ma:contentTypeScope="" ma:versionID="fb2484407b2454d63f26ee513e21c2bc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8a64e590aecf2f9b6114641f52b25d1e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4565AC-30E6-4502-99FB-2C749393BBAB}"/>
</file>

<file path=customXml/itemProps2.xml><?xml version="1.0" encoding="utf-8"?>
<ds:datastoreItem xmlns:ds="http://schemas.openxmlformats.org/officeDocument/2006/customXml" ds:itemID="{A959B544-3444-4116-9D1F-141D3697D787}"/>
</file>

<file path=customXml/itemProps3.xml><?xml version="1.0" encoding="utf-8"?>
<ds:datastoreItem xmlns:ds="http://schemas.openxmlformats.org/officeDocument/2006/customXml" ds:itemID="{2B8F222C-715D-416E-9E92-7E8586436BC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alyssa.oakes@ttuhsc.edu</dc:creator>
  <cp:keywords/>
  <dc:description/>
  <cp:lastModifiedBy>alyssa.oakes@ttuhsc.edu</cp:lastModifiedBy>
  <dcterms:created xsi:type="dcterms:W3CDTF">2026-06-04T17:08:03Z</dcterms:created>
  <dcterms:modified xsi:type="dcterms:W3CDTF">2026-06-04T17:08:43Z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