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E36ED1" wp14:paraId="1253B9C9" wp14:textId="70453CB7">
      <w:pPr>
        <w:pStyle w:val="Heading1"/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Week 4 Overview: Heart Failure + Atrial Fibrillation + Anticoagulation/Venous Thromboembolism</w:t>
      </w:r>
    </w:p>
    <w:p xmlns:wp14="http://schemas.microsoft.com/office/word/2010/wordml" w:rsidP="62E36ED1" wp14:paraId="58B1775C" wp14:textId="40CE20DE">
      <w:pPr>
        <w:pStyle w:val="Heading2"/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Why These Disease States Are Paired</w:t>
      </w:r>
    </w:p>
    <w:p xmlns:wp14="http://schemas.microsoft.com/office/word/2010/wordml" wp14:paraId="5A5E851E" wp14:textId="01F067AB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Heart failure, atrial fibrillation, and venous thromboembolism are among the most common cardiovascular conditions managed in ambulatory care and frequently coexist in the same patient.</w:t>
      </w:r>
    </w:p>
    <w:p xmlns:wp14="http://schemas.microsoft.com/office/word/2010/wordml" wp14:paraId="14699514" wp14:textId="02EE5F39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Together they significantly increase the risk of:</w:t>
      </w:r>
    </w:p>
    <w:p xmlns:wp14="http://schemas.microsoft.com/office/word/2010/wordml" w:rsidP="62E36ED1" wp14:paraId="06B83DA4" wp14:textId="2507567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Stroke</w:t>
      </w:r>
    </w:p>
    <w:p xmlns:wp14="http://schemas.microsoft.com/office/word/2010/wordml" w:rsidP="62E36ED1" wp14:paraId="135C4655" wp14:textId="62371AC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Systemic embolism</w:t>
      </w:r>
    </w:p>
    <w:p xmlns:wp14="http://schemas.microsoft.com/office/word/2010/wordml" w:rsidP="62E36ED1" wp14:paraId="628BA1C5" wp14:textId="45591A9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Heart failure hospitalization</w:t>
      </w:r>
    </w:p>
    <w:p xmlns:wp14="http://schemas.microsoft.com/office/word/2010/wordml" w:rsidP="62E36ED1" wp14:paraId="206D1410" wp14:textId="0572C91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Recurrent venous thromboembolism</w:t>
      </w:r>
    </w:p>
    <w:p xmlns:wp14="http://schemas.microsoft.com/office/word/2010/wordml" w:rsidP="62E36ED1" wp14:paraId="28D4BEB9" wp14:textId="6D0BC2C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Major bleeding complications</w:t>
      </w:r>
    </w:p>
    <w:p xmlns:wp14="http://schemas.microsoft.com/office/word/2010/wordml" w:rsidP="62E36ED1" wp14:paraId="7A2B000B" wp14:textId="5EA39F7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Cardiovascular mortality</w:t>
      </w:r>
    </w:p>
    <w:p xmlns:wp14="http://schemas.microsoft.com/office/word/2010/wordml" w:rsidP="62E36ED1" wp14:paraId="1FCD47A3" wp14:textId="67A0D46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All-cause mortality</w:t>
      </w:r>
    </w:p>
    <w:p xmlns:wp14="http://schemas.microsoft.com/office/word/2010/wordml" wp14:paraId="5BD5AF8F" wp14:textId="2E7FE6F6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Students must learn to manage these conditions simultaneously rather than in isolation.</w:t>
      </w:r>
    </w:p>
    <w:p xmlns:wp14="http://schemas.microsoft.com/office/word/2010/wordml" wp14:paraId="0AADC9D7" wp14:textId="7DAD6092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Successful management requires balancing mortality reduction, symptom control, stroke prevention, bleeding risk, medication burden, and patient preferences.</w:t>
      </w:r>
    </w:p>
    <w:p xmlns:wp14="http://schemas.microsoft.com/office/word/2010/wordml" wp14:paraId="1F358B05" wp14:textId="0B0068AD"/>
    <w:p xmlns:wp14="http://schemas.microsoft.com/office/word/2010/wordml" w:rsidP="62E36ED1" wp14:paraId="05873399" wp14:textId="6644A5E0">
      <w:pPr>
        <w:pStyle w:val="Heading2"/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Learning Objectives</w:t>
      </w:r>
    </w:p>
    <w:p xmlns:wp14="http://schemas.microsoft.com/office/word/2010/wordml" wp14:paraId="1D35E938" wp14:textId="14A7DEF7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By the end of Week 4 students should be able to:</w:t>
      </w:r>
    </w:p>
    <w:p xmlns:wp14="http://schemas.microsoft.com/office/word/2010/wordml" w:rsidP="62E36ED1" wp14:paraId="59330A88" wp14:textId="39A65E9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Apply heart failure guidelines to patient-specific scenarios.</w:t>
      </w:r>
    </w:p>
    <w:p xmlns:wp14="http://schemas.microsoft.com/office/word/2010/wordml" w:rsidP="62E36ED1" wp14:paraId="27D71CC0" wp14:textId="557FD91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Apply atrial fibrillation guidelines to patient-specific scenarios.</w:t>
      </w:r>
    </w:p>
    <w:p xmlns:wp14="http://schemas.microsoft.com/office/word/2010/wordml" w:rsidP="62E36ED1" wp14:paraId="46EA1260" wp14:textId="20F94B9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Apply anticoagulation and VTE guidelines to patient-specific scenarios.</w:t>
      </w:r>
    </w:p>
    <w:p xmlns:wp14="http://schemas.microsoft.com/office/word/2010/wordml" w:rsidP="62E36ED1" wp14:paraId="6A422875" wp14:textId="4853369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Develop evidence-based treatment plans.</w:t>
      </w:r>
    </w:p>
    <w:p xmlns:wp14="http://schemas.microsoft.com/office/word/2010/wordml" w:rsidP="62E36ED1" wp14:paraId="634F7BE6" wp14:textId="17E15DE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Identify medication therapy problems.</w:t>
      </w:r>
    </w:p>
    <w:p xmlns:wp14="http://schemas.microsoft.com/office/word/2010/wordml" w:rsidP="62E36ED1" wp14:paraId="4CFA39F9" wp14:textId="666D7C4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Assess stroke and thromboembolic risk.</w:t>
      </w:r>
    </w:p>
    <w:p xmlns:wp14="http://schemas.microsoft.com/office/word/2010/wordml" w:rsidP="62E36ED1" wp14:paraId="66F10E74" wp14:textId="7106C97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Assess bleeding risk.</w:t>
      </w:r>
    </w:p>
    <w:p xmlns:wp14="http://schemas.microsoft.com/office/word/2010/wordml" w:rsidP="62E36ED1" wp14:paraId="78D79AA7" wp14:textId="09FCCE5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Identify medication adherence and access barriers.</w:t>
      </w:r>
    </w:p>
    <w:p xmlns:wp14="http://schemas.microsoft.com/office/word/2010/wordml" w:rsidP="62E36ED1" wp14:paraId="4B2B23F4" wp14:textId="1CF5087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Perform patient-centered counseling.</w:t>
      </w:r>
    </w:p>
    <w:p xmlns:wp14="http://schemas.microsoft.com/office/word/2010/wordml" w:rsidP="62E36ED1" wp14:paraId="5AC12366" wp14:textId="1C4D651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Create complete SOAP notes.</w:t>
      </w:r>
    </w:p>
    <w:p xmlns:wp14="http://schemas.microsoft.com/office/word/2010/wordml" w:rsidP="62E36ED1" wp14:paraId="01122600" wp14:textId="1FB501A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Develop monitoring and follow-up plans.</w:t>
      </w:r>
    </w:p>
    <w:p xmlns:wp14="http://schemas.microsoft.com/office/word/2010/wordml" w:rsidP="62E36ED1" wp14:paraId="1140CABF" wp14:textId="7046C33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Utilize shared decision-making when benefits and risks must be balanced.</w:t>
      </w:r>
    </w:p>
    <w:p xmlns:wp14="http://schemas.microsoft.com/office/word/2010/wordml" wp14:paraId="3A26AEAD" wp14:textId="78D1C65A"/>
    <w:p xmlns:wp14="http://schemas.microsoft.com/office/word/2010/wordml" w:rsidP="62E36ED1" wp14:paraId="01936899" wp14:textId="4BAB1BDE">
      <w:pPr>
        <w:pStyle w:val="Heading2"/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Guidelines Used</w:t>
      </w:r>
    </w:p>
    <w:p xmlns:wp14="http://schemas.microsoft.com/office/word/2010/wordml" w:rsidP="62E36ED1" wp14:paraId="0186CB15" wp14:textId="081C1C10">
      <w:pPr>
        <w:pStyle w:val="Heading3"/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Heart Failure</w:t>
      </w:r>
    </w:p>
    <w:p xmlns:wp14="http://schemas.microsoft.com/office/word/2010/wordml" wp14:paraId="2E90EFC9" wp14:textId="0304887B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2022 AHA/ACC/HFSA Guideline for the Management of Heart Failure</w:t>
      </w:r>
    </w:p>
    <w:p xmlns:wp14="http://schemas.microsoft.com/office/word/2010/wordml" w:rsidP="62E36ED1" wp14:paraId="23C85FE8" wp14:textId="3CFE5C35">
      <w:pPr>
        <w:pStyle w:val="Heading3"/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Atrial Fibrillation</w:t>
      </w:r>
    </w:p>
    <w:p xmlns:wp14="http://schemas.microsoft.com/office/word/2010/wordml" wp14:paraId="0A0BC2C3" wp14:textId="5ECA3AA4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2023 ACC/AHA/ACCP/HRS Guideline for the Diagnosis and Management of Atrial Fibrillation</w:t>
      </w:r>
    </w:p>
    <w:p xmlns:wp14="http://schemas.microsoft.com/office/word/2010/wordml" w:rsidP="62E36ED1" wp14:paraId="1EEB857B" wp14:textId="72464EC2">
      <w:pPr>
        <w:pStyle w:val="Heading3"/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Venous Thromboembolism</w:t>
      </w:r>
    </w:p>
    <w:p xmlns:wp14="http://schemas.microsoft.com/office/word/2010/wordml" wp14:paraId="6225596B" wp14:textId="7189DFD1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2026 ACC/AHA/CHEST VTE Guideline</w:t>
      </w:r>
    </w:p>
    <w:p xmlns:wp14="http://schemas.microsoft.com/office/word/2010/wordml" wp14:paraId="24850994" wp14:textId="61EBDB14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2021 CHEST Guideline and Expert Panel Report: Antithrombotic Therapy for VTE Disease</w:t>
      </w:r>
    </w:p>
    <w:p xmlns:wp14="http://schemas.microsoft.com/office/word/2010/wordml" wp14:paraId="4882E43C" wp14:textId="3B701E56"/>
    <w:p xmlns:wp14="http://schemas.microsoft.com/office/word/2010/wordml" w:rsidP="62E36ED1" wp14:paraId="09B63D32" wp14:textId="7E8DB917">
      <w:pPr>
        <w:pStyle w:val="Heading2"/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Clinical Skills Practiced</w:t>
      </w:r>
    </w:p>
    <w:p xmlns:wp14="http://schemas.microsoft.com/office/word/2010/wordml" w:rsidP="62E36ED1" wp14:paraId="402824C5" wp14:textId="3080A7C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Chart review</w:t>
      </w:r>
    </w:p>
    <w:p xmlns:wp14="http://schemas.microsoft.com/office/word/2010/wordml" w:rsidP="62E36ED1" wp14:paraId="56511BE1" wp14:textId="4889B7D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Patient interviewing</w:t>
      </w:r>
    </w:p>
    <w:p xmlns:wp14="http://schemas.microsoft.com/office/word/2010/wordml" w:rsidP="62E36ED1" wp14:paraId="64634792" wp14:textId="596A3CA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Medication reconciliation</w:t>
      </w:r>
    </w:p>
    <w:p xmlns:wp14="http://schemas.microsoft.com/office/word/2010/wordml" w:rsidP="62E36ED1" wp14:paraId="230DBB90" wp14:textId="0304C60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Problem identification</w:t>
      </w:r>
    </w:p>
    <w:p xmlns:wp14="http://schemas.microsoft.com/office/word/2010/wordml" w:rsidP="62E36ED1" wp14:paraId="31913F90" wp14:textId="1254AFD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Guideline application</w:t>
      </w:r>
    </w:p>
    <w:p xmlns:wp14="http://schemas.microsoft.com/office/word/2010/wordml" w:rsidP="62E36ED1" wp14:paraId="4B962E44" wp14:textId="2A69A05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Anticoagulation assessment</w:t>
      </w:r>
    </w:p>
    <w:p xmlns:wp14="http://schemas.microsoft.com/office/word/2010/wordml" w:rsidP="62E36ED1" wp14:paraId="378F8DDF" wp14:textId="33757E4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Risk-benefit evaluation</w:t>
      </w:r>
    </w:p>
    <w:p xmlns:wp14="http://schemas.microsoft.com/office/word/2010/wordml" w:rsidP="62E36ED1" wp14:paraId="1A55E2FB" wp14:textId="23E95F4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Shared decision-making</w:t>
      </w:r>
    </w:p>
    <w:p xmlns:wp14="http://schemas.microsoft.com/office/word/2010/wordml" w:rsidP="62E36ED1" wp14:paraId="2DC4FD3B" wp14:textId="0619738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Documentation</w:t>
      </w:r>
    </w:p>
    <w:p xmlns:wp14="http://schemas.microsoft.com/office/word/2010/wordml" w:rsidP="62E36ED1" wp14:paraId="4440FDE6" wp14:textId="088340B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Monitoring plan development</w:t>
      </w:r>
    </w:p>
    <w:p xmlns:wp14="http://schemas.microsoft.com/office/word/2010/wordml" wp14:paraId="7FDC030C" wp14:textId="2001BCAF"/>
    <w:p xmlns:wp14="http://schemas.microsoft.com/office/word/2010/wordml" w:rsidP="62E36ED1" wp14:paraId="6C213FEC" wp14:textId="30DD6400">
      <w:pPr>
        <w:pStyle w:val="Heading2"/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Longitudinal Patients</w:t>
      </w:r>
    </w:p>
    <w:p xmlns:wp14="http://schemas.microsoft.com/office/word/2010/wordml" w:rsidP="62E36ED1" wp14:paraId="4422E6E9" wp14:textId="71660DBD">
      <w:pPr>
        <w:pStyle w:val="Heading3"/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Patient A</w:t>
      </w:r>
    </w:p>
    <w:p xmlns:wp14="http://schemas.microsoft.com/office/word/2010/wordml" wp14:paraId="2A22F279" wp14:textId="049F1C5B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Foundational case focused on diagnosis and optimization of guideline-directed medical therapy for heart failure with reduced ejection fraction (HFrEF).</w:t>
      </w:r>
    </w:p>
    <w:p xmlns:wp14="http://schemas.microsoft.com/office/word/2010/wordml" w:rsidP="62E36ED1" wp14:paraId="37FA3937" wp14:textId="439C3869">
      <w:pPr>
        <w:pStyle w:val="Heading3"/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Patient B</w:t>
      </w:r>
    </w:p>
    <w:p xmlns:wp14="http://schemas.microsoft.com/office/word/2010/wordml" wp14:paraId="07616D9D" wp14:textId="40447053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Adherence and access case focused on atrial fibrillation management, anticoagulation adherence, medication affordability, health literacy, and practical problem solving.</w:t>
      </w:r>
    </w:p>
    <w:p xmlns:wp14="http://schemas.microsoft.com/office/word/2010/wordml" w:rsidP="62E36ED1" wp14:paraId="1CC687B1" wp14:textId="05AD031E">
      <w:pPr>
        <w:pStyle w:val="Heading3"/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Patient C</w:t>
      </w:r>
    </w:p>
    <w:p xmlns:wp14="http://schemas.microsoft.com/office/word/2010/wordml" wp14:paraId="28ED27BD" wp14:textId="75B41189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Higher-risk patient requiring integration of HFpEF, atrial fibrillation, chronic kidney disease, prior venous thromboembolism, anticoagulation management, and individualized risk-benefit assessment.</w:t>
      </w:r>
    </w:p>
    <w:p xmlns:wp14="http://schemas.microsoft.com/office/word/2010/wordml" wp14:paraId="6B8FA435" wp14:textId="64B23116"/>
    <w:p xmlns:wp14="http://schemas.microsoft.com/office/word/2010/wordml" w:rsidP="62E36ED1" wp14:paraId="5AB42376" wp14:textId="3C57BFCE">
      <w:pPr>
        <w:pStyle w:val="Heading2"/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Progression of Complexity</w:t>
      </w:r>
    </w:p>
    <w:p xmlns:wp14="http://schemas.microsoft.com/office/word/2010/wordml" w:rsidP="62E36ED1" wp14:paraId="6E947546" wp14:textId="1EC869EA">
      <w:pPr>
        <w:pStyle w:val="Heading3"/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Patient A</w:t>
      </w:r>
    </w:p>
    <w:p xmlns:wp14="http://schemas.microsoft.com/office/word/2010/wordml" wp14:paraId="19961B66" wp14:textId="3FAC0AC4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Guideline Application</w:t>
      </w:r>
    </w:p>
    <w:p xmlns:wp14="http://schemas.microsoft.com/office/word/2010/wordml" wp14:paraId="3482AD07" wp14:textId="63EDEE74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Students focus on identifying evidence-based therapies and optimizing heart failure treatment.</w:t>
      </w:r>
    </w:p>
    <w:p xmlns:wp14="http://schemas.microsoft.com/office/word/2010/wordml" w:rsidP="62E36ED1" wp14:paraId="07D044B5" wp14:textId="363DCEBF">
      <w:pPr>
        <w:pStyle w:val="Heading3"/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Patient B</w:t>
      </w:r>
    </w:p>
    <w:p xmlns:wp14="http://schemas.microsoft.com/office/word/2010/wordml" wp14:paraId="5D2CDB20" wp14:textId="7583ADC5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Implementation of Therapy</w:t>
      </w:r>
    </w:p>
    <w:p xmlns:wp14="http://schemas.microsoft.com/office/word/2010/wordml" wp14:paraId="56932F3F" wp14:textId="12427341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Students focus on overcoming medication access barriers, adherence challenges, and patient concerns.</w:t>
      </w:r>
    </w:p>
    <w:p xmlns:wp14="http://schemas.microsoft.com/office/word/2010/wordml" w:rsidP="62E36ED1" wp14:paraId="7CABC8EA" wp14:textId="52E64812">
      <w:pPr>
        <w:pStyle w:val="Heading3"/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Patient C</w:t>
      </w:r>
    </w:p>
    <w:p xmlns:wp14="http://schemas.microsoft.com/office/word/2010/wordml" wp14:paraId="73E94833" wp14:textId="3D385E9A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Clinical Judgment</w:t>
      </w:r>
    </w:p>
    <w:p xmlns:wp14="http://schemas.microsoft.com/office/word/2010/wordml" wp14:paraId="5D7D8ED3" wp14:textId="55463CC2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Students focus on individualized decision-making when multiple disease states and competing risks coexist.</w:t>
      </w:r>
    </w:p>
    <w:p xmlns:wp14="http://schemas.microsoft.com/office/word/2010/wordml" wp14:paraId="5AEB7A65" wp14:textId="0848C072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The goal is not simply to know the guidelines.</w:t>
      </w:r>
    </w:p>
    <w:p xmlns:wp14="http://schemas.microsoft.com/office/word/2010/wordml" wp14:paraId="7716D8A8" wp14:textId="3F476DF9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The goal is to apply the guidelines to realistic ambulatory care patient encounters.</w:t>
      </w:r>
    </w:p>
    <w:p xmlns:wp14="http://schemas.microsoft.com/office/word/2010/wordml" wp14:paraId="5F2BBD3F" wp14:textId="06B8F432"/>
    <w:p xmlns:wp14="http://schemas.microsoft.com/office/word/2010/wordml" w:rsidP="62E36ED1" wp14:paraId="72EA9963" wp14:textId="51E55496">
      <w:pPr>
        <w:pStyle w:val="Heading2"/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Weekly Workflow</w:t>
      </w:r>
    </w:p>
    <w:p xmlns:wp14="http://schemas.microsoft.com/office/word/2010/wordml" w:rsidP="62E36ED1" wp14:paraId="7E76977E" wp14:textId="22D7D4E9">
      <w:pPr>
        <w:pStyle w:val="Heading3"/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Monday: Guideline Foundation Day</w:t>
      </w:r>
    </w:p>
    <w:p xmlns:wp14="http://schemas.microsoft.com/office/word/2010/wordml" wp14:paraId="2FE88A5D" wp14:textId="677A31AD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Students will review:</w:t>
      </w:r>
    </w:p>
    <w:p xmlns:wp14="http://schemas.microsoft.com/office/word/2010/wordml" w:rsidP="62E36ED1" wp14:paraId="726241F6" wp14:textId="048D9F8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Heart failure guideline summary</w:t>
      </w:r>
    </w:p>
    <w:p xmlns:wp14="http://schemas.microsoft.com/office/word/2010/wordml" w:rsidP="62E36ED1" wp14:paraId="1FB4F657" wp14:textId="050C292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Atrial fibrillation guideline summary</w:t>
      </w:r>
    </w:p>
    <w:p xmlns:wp14="http://schemas.microsoft.com/office/word/2010/wordml" w:rsidP="62E36ED1" wp14:paraId="17553DA3" wp14:textId="081BDD7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Anticoagulation/VTE guideline summary</w:t>
      </w:r>
    </w:p>
    <w:p xmlns:wp14="http://schemas.microsoft.com/office/word/2010/wordml" w:rsidP="62E36ED1" wp14:paraId="079A7480" wp14:textId="5FA1F05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Required readings and resources</w:t>
      </w:r>
    </w:p>
    <w:p xmlns:wp14="http://schemas.microsoft.com/office/word/2010/wordml" wp14:paraId="2DF9E644" wp14:textId="18D52243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The purpose of Monday is to establish the evidence base that will be applied throughout the week.</w:t>
      </w:r>
    </w:p>
    <w:p xmlns:wp14="http://schemas.microsoft.com/office/word/2010/wordml" wp14:paraId="61A6C026" wp14:textId="2F3151AB"/>
    <w:p xmlns:wp14="http://schemas.microsoft.com/office/word/2010/wordml" w:rsidP="62E36ED1" wp14:paraId="032E0F26" wp14:textId="73656200">
      <w:pPr>
        <w:pStyle w:val="Heading3"/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Tuesday: Initial Patient Assessment</w:t>
      </w:r>
    </w:p>
    <w:p xmlns:wp14="http://schemas.microsoft.com/office/word/2010/wordml" wp14:paraId="3C2C21CC" wp14:textId="285FB606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Students will:</w:t>
      </w:r>
    </w:p>
    <w:p xmlns:wp14="http://schemas.microsoft.com/office/word/2010/wordml" w:rsidP="62E36ED1" wp14:paraId="21A4A092" wp14:textId="382C902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Conduct patient interviews</w:t>
      </w:r>
    </w:p>
    <w:p xmlns:wp14="http://schemas.microsoft.com/office/word/2010/wordml" w:rsidP="62E36ED1" wp14:paraId="5688B020" wp14:textId="439C70C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Review chart information</w:t>
      </w:r>
    </w:p>
    <w:p xmlns:wp14="http://schemas.microsoft.com/office/word/2010/wordml" w:rsidP="62E36ED1" wp14:paraId="36F63642" wp14:textId="50A6B5C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Identify medication therapy problems</w:t>
      </w:r>
    </w:p>
    <w:p xmlns:wp14="http://schemas.microsoft.com/office/word/2010/wordml" w:rsidP="62E36ED1" wp14:paraId="73374AD4" wp14:textId="2A4FAE3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Develop initial treatment plans</w:t>
      </w:r>
    </w:p>
    <w:p xmlns:wp14="http://schemas.microsoft.com/office/word/2010/wordml" w:rsidP="62E36ED1" wp14:paraId="2D69C413" wp14:textId="2E31020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Complete SOAP note documentation</w:t>
      </w:r>
    </w:p>
    <w:p xmlns:wp14="http://schemas.microsoft.com/office/word/2010/wordml" wp14:paraId="7C9AB16C" wp14:textId="305403E9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Patient focus:</w:t>
      </w:r>
    </w:p>
    <w:p xmlns:wp14="http://schemas.microsoft.com/office/word/2010/wordml" w:rsidP="62E36ED1" wp14:paraId="2E8B2220" wp14:textId="55C4D82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Patient A: New HFrEF diagnosis</w:t>
      </w:r>
    </w:p>
    <w:p xmlns:wp14="http://schemas.microsoft.com/office/word/2010/wordml" w:rsidP="62E36ED1" wp14:paraId="336834E8" wp14:textId="67AF0C8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Patient B: New atrial fibrillation diagnosis</w:t>
      </w:r>
    </w:p>
    <w:p xmlns:wp14="http://schemas.microsoft.com/office/word/2010/wordml" w:rsidP="62E36ED1" wp14:paraId="3E49379E" wp14:textId="27073B7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Patient C: Initial complex cardiovascular assessment</w:t>
      </w:r>
    </w:p>
    <w:p xmlns:wp14="http://schemas.microsoft.com/office/word/2010/wordml" wp14:paraId="621BF7B9" wp14:textId="6A0D5D62"/>
    <w:p xmlns:wp14="http://schemas.microsoft.com/office/word/2010/wordml" w:rsidP="62E36ED1" wp14:paraId="5FBF6293" wp14:textId="3DD06CC6">
      <w:pPr>
        <w:pStyle w:val="Heading3"/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Wednesday: Follow-Up Assessment</w:t>
      </w:r>
    </w:p>
    <w:p xmlns:wp14="http://schemas.microsoft.com/office/word/2010/wordml" wp14:paraId="7E5630D2" wp14:textId="0C33B8F8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Students will:</w:t>
      </w:r>
    </w:p>
    <w:p xmlns:wp14="http://schemas.microsoft.com/office/word/2010/wordml" w:rsidP="62E36ED1" wp14:paraId="2ED5C1F4" wp14:textId="667D0BE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Evaluate treatment response</w:t>
      </w:r>
    </w:p>
    <w:p xmlns:wp14="http://schemas.microsoft.com/office/word/2010/wordml" w:rsidP="62E36ED1" wp14:paraId="1F908A1F" wp14:textId="67FE7ED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Interpret follow-up laboratory results</w:t>
      </w:r>
    </w:p>
    <w:p xmlns:wp14="http://schemas.microsoft.com/office/word/2010/wordml" w:rsidP="62E36ED1" wp14:paraId="2CDC50B2" wp14:textId="395B67D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Assess adherence and adverse effects</w:t>
      </w:r>
    </w:p>
    <w:p xmlns:wp14="http://schemas.microsoft.com/office/word/2010/wordml" w:rsidP="62E36ED1" wp14:paraId="297F3A2F" wp14:textId="0E7CD92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Modify treatment plans as needed</w:t>
      </w:r>
    </w:p>
    <w:p xmlns:wp14="http://schemas.microsoft.com/office/word/2010/wordml" w:rsidP="62E36ED1" wp14:paraId="7FFEE70A" wp14:textId="5B9E86F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Complete SOAP note documentation</w:t>
      </w:r>
    </w:p>
    <w:p xmlns:wp14="http://schemas.microsoft.com/office/word/2010/wordml" wp14:paraId="46A1B74E" wp14:textId="7688756D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Patient focus:</w:t>
      </w:r>
    </w:p>
    <w:p xmlns:wp14="http://schemas.microsoft.com/office/word/2010/wordml" w:rsidP="62E36ED1" wp14:paraId="471A23A2" wp14:textId="616BE79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Patient A: GDMT titration and monitoring</w:t>
      </w:r>
    </w:p>
    <w:p xmlns:wp14="http://schemas.microsoft.com/office/word/2010/wordml" w:rsidP="62E36ED1" wp14:paraId="6A15D8CA" wp14:textId="401F015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Patient B: Medication access and adherence barriers</w:t>
      </w:r>
    </w:p>
    <w:p xmlns:wp14="http://schemas.microsoft.com/office/word/2010/wordml" w:rsidP="62E36ED1" wp14:paraId="4EAC96BF" wp14:textId="106A0D6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Patient C: Reassessment of anticoagulation and renal function</w:t>
      </w:r>
    </w:p>
    <w:p xmlns:wp14="http://schemas.microsoft.com/office/word/2010/wordml" wp14:paraId="6A27CA9E" wp14:textId="0082B7CA"/>
    <w:p xmlns:wp14="http://schemas.microsoft.com/office/word/2010/wordml" w:rsidP="62E36ED1" wp14:paraId="2AAB5033" wp14:textId="57697461">
      <w:pPr>
        <w:pStyle w:val="Heading3"/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Thursday: Advanced Clinical Decision-Making</w:t>
      </w:r>
    </w:p>
    <w:p xmlns:wp14="http://schemas.microsoft.com/office/word/2010/wordml" wp14:paraId="304C4FA6" wp14:textId="03CF1B2C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Students will:</w:t>
      </w:r>
    </w:p>
    <w:p xmlns:wp14="http://schemas.microsoft.com/office/word/2010/wordml" w:rsidP="62E36ED1" wp14:paraId="0440EDAC" wp14:textId="4C1E34F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Manage complex medication therapy problems</w:t>
      </w:r>
    </w:p>
    <w:p xmlns:wp14="http://schemas.microsoft.com/office/word/2010/wordml" w:rsidP="62E36ED1" wp14:paraId="0FC9CD52" wp14:textId="4A5C50A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Address patient-specific barriers</w:t>
      </w:r>
    </w:p>
    <w:p xmlns:wp14="http://schemas.microsoft.com/office/word/2010/wordml" w:rsidP="62E36ED1" wp14:paraId="721EB533" wp14:textId="69F5674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Apply guideline recommendations to challenging scenarios</w:t>
      </w:r>
    </w:p>
    <w:p xmlns:wp14="http://schemas.microsoft.com/office/word/2010/wordml" w:rsidP="62E36ED1" wp14:paraId="647C91EE" wp14:textId="6E680A1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Complete SOAP note documentation</w:t>
      </w:r>
    </w:p>
    <w:p xmlns:wp14="http://schemas.microsoft.com/office/word/2010/wordml" wp14:paraId="56ADC0FD" wp14:textId="1B8EAC99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Patient focus:</w:t>
      </w:r>
    </w:p>
    <w:p xmlns:wp14="http://schemas.microsoft.com/office/word/2010/wordml" w:rsidP="62E36ED1" wp14:paraId="3859E343" wp14:textId="445A6B9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Patient A: Long-term optimization of HFrEF therapy</w:t>
      </w:r>
    </w:p>
    <w:p xmlns:wp14="http://schemas.microsoft.com/office/word/2010/wordml" w:rsidP="62E36ED1" wp14:paraId="0C4FD948" wp14:textId="0EB7252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Patient B: Persistent adherence challenges and stroke prevention</w:t>
      </w:r>
    </w:p>
    <w:p xmlns:wp14="http://schemas.microsoft.com/office/word/2010/wordml" w:rsidP="62E36ED1" wp14:paraId="5A3EE263" wp14:textId="25754E2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Patient C: Shared decision-making regarding long-term anticoagulation</w:t>
      </w:r>
    </w:p>
    <w:p xmlns:wp14="http://schemas.microsoft.com/office/word/2010/wordml" wp14:paraId="101F31A1" wp14:textId="457973CA"/>
    <w:p xmlns:wp14="http://schemas.microsoft.com/office/word/2010/wordml" w:rsidP="62E36ED1" wp14:paraId="4AA4D171" wp14:textId="198A6DC9">
      <w:pPr>
        <w:pStyle w:val="Heading3"/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Friday: Reflection and Journal Club</w:t>
      </w:r>
    </w:p>
    <w:p xmlns:wp14="http://schemas.microsoft.com/office/word/2010/wordml" wp14:paraId="43F2381B" wp14:textId="1BA06B7E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Students will:</w:t>
      </w:r>
    </w:p>
    <w:p xmlns:wp14="http://schemas.microsoft.com/office/word/2010/wordml" w:rsidP="62E36ED1" wp14:paraId="789F01A1" wp14:textId="76030C7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Reflect on patient care experiences</w:t>
      </w:r>
    </w:p>
    <w:p xmlns:wp14="http://schemas.microsoft.com/office/word/2010/wordml" w:rsidP="62E36ED1" wp14:paraId="649974D9" wp14:textId="49B63B3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Apply literature to clinical practice</w:t>
      </w:r>
    </w:p>
    <w:p xmlns:wp14="http://schemas.microsoft.com/office/word/2010/wordml" w:rsidP="62E36ED1" wp14:paraId="29AB9100" wp14:textId="4C7C6A7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Participate in journal club discussion</w:t>
      </w:r>
    </w:p>
    <w:p xmlns:wp14="http://schemas.microsoft.com/office/word/2010/wordml" w:rsidP="62E36ED1" wp14:paraId="3046C512" wp14:textId="0C7E124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Defend evidence-based treatment recommendations</w:t>
      </w:r>
    </w:p>
    <w:p xmlns:wp14="http://schemas.microsoft.com/office/word/2010/wordml" w:rsidP="62E36ED1" wp14:paraId="290F1C45" wp14:textId="26B93626">
      <w:pPr>
        <w:pStyle w:val="Heading3"/>
      </w:pPr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Journal Club</w:t>
      </w:r>
    </w:p>
    <w:p xmlns:wp14="http://schemas.microsoft.com/office/word/2010/wordml" wp14:paraId="03CC2603" wp14:textId="65974571">
      <w:r w:rsidRPr="62E36ED1" w:rsidR="58B70E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Atrial Fibrillation + Anticoagulation</w:t>
      </w:r>
    </w:p>
    <w:p xmlns:wp14="http://schemas.microsoft.com/office/word/2010/wordml" wp14:paraId="0B1333A3" wp14:textId="030BA721">
      <w:r w:rsidRPr="62E36ED1" w:rsidR="58B70E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Bleeding Reduction Beyond Factor Xa Inhibition: The AZALEA-TIMI 71 Trial</w:t>
      </w:r>
    </w:p>
    <w:p xmlns:wp14="http://schemas.microsoft.com/office/word/2010/wordml" wp14:paraId="0F218345" wp14:textId="3292CC72">
      <w:r w:rsidRPr="62E36ED1" w:rsidR="58B70E73">
        <w:rPr>
          <w:rFonts w:ascii="Aptos" w:hAnsi="Aptos" w:eastAsia="Aptos" w:cs="Aptos"/>
          <w:noProof w:val="0"/>
          <w:sz w:val="24"/>
          <w:szCs w:val="24"/>
          <w:lang w:val="en-US"/>
        </w:rPr>
        <w:t>Students will evaluate emerging anticoagulation therapies and discuss how future therapies may influence stroke prevention, bleeding risk, and ambulatory care decision-making.</w:t>
      </w:r>
    </w:p>
    <w:p xmlns:wp14="http://schemas.microsoft.com/office/word/2010/wordml" wp14:paraId="2C078E63" wp14:textId="5A7A21B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4cf6f9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3fe8b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4468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bc18b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987e8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ea843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14ac9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af587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64b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2832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ee8f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769CD0"/>
    <w:rsid w:val="49769CD0"/>
    <w:rsid w:val="58B70E73"/>
    <w:rsid w:val="62E3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84F2C"/>
  <w15:chartTrackingRefBased/>
  <w15:docId w15:val="{9ADD3FBD-F756-40E4-AFAD-6849179FE6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2E36ED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2E36ED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2E36ED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2E36ED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3441852ee8746e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AEF264-01BB-4C25-BC76-B19FCAF99E84}"/>
</file>

<file path=customXml/itemProps2.xml><?xml version="1.0" encoding="utf-8"?>
<ds:datastoreItem xmlns:ds="http://schemas.openxmlformats.org/officeDocument/2006/customXml" ds:itemID="{BB67E4E6-9976-473E-AA6D-976F283C1928}"/>
</file>

<file path=customXml/itemProps3.xml><?xml version="1.0" encoding="utf-8"?>
<ds:datastoreItem xmlns:ds="http://schemas.openxmlformats.org/officeDocument/2006/customXml" ds:itemID="{AD0B3191-6238-4F49-BADE-65C252EA059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2026-06-11T17:17:59Z</dcterms:created>
  <dcterms:modified xsi:type="dcterms:W3CDTF">2026-06-11T18:41:12Z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