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2596" w:rsidRDefault="00000000" w14:paraId="1749DAD3" w14:textId="77777777">
      <w:pPr>
        <w:pStyle w:val="Heading1"/>
      </w:pPr>
      <w:r>
        <w:t xml:space="preserve">Model Answer — </w:t>
      </w:r>
      <w:proofErr w:type="spellStart"/>
      <w:r>
        <w:t>Resmetirom</w:t>
      </w:r>
      <w:proofErr w:type="spellEnd"/>
      <w:r>
        <w:t xml:space="preserve"> (</w:t>
      </w:r>
      <w:proofErr w:type="spellStart"/>
      <w:r>
        <w:t>Rezdiffra</w:t>
      </w:r>
      <w:proofErr w:type="spellEnd"/>
      <w:r>
        <w:t>®) in MASH: A New Drug Review</w:t>
      </w:r>
    </w:p>
    <w:p w:rsidR="00992596" w:rsidRDefault="00000000" w14:paraId="075C961D" w14:textId="77777777">
      <w:r>
        <w:t>[FOR AI PRECEPTOR CALIBRATION ONLY — NOT FOR STUDENT DISTRIBUTION]</w:t>
      </w:r>
    </w:p>
    <w:p w:rsidR="00992596" w:rsidRDefault="00000000" w14:paraId="05F798A0" w14:textId="77777777">
      <w:r>
        <w:t>---</w:t>
      </w:r>
    </w:p>
    <w:p w:rsidR="00992596" w:rsidRDefault="00000000" w14:paraId="06A6ED8C" w14:textId="77777777">
      <w:r>
        <w:t>DISEASE STATE BACKGROUND</w:t>
      </w:r>
    </w:p>
    <w:p w:rsidR="00992596" w:rsidRDefault="00000000" w14:paraId="4CF3C8E8" w14:textId="77777777">
      <w:r>
        <w:t>Nomenclature and Definition</w:t>
      </w:r>
    </w:p>
    <w:p w:rsidR="00992596" w:rsidRDefault="00000000" w14:paraId="3F6F5D33" w14:textId="77777777">
      <w:r>
        <w:t xml:space="preserve">Metabolic dysfunction-associated </w:t>
      </w:r>
      <w:proofErr w:type="spellStart"/>
      <w:r>
        <w:t>steatotic</w:t>
      </w:r>
      <w:proofErr w:type="spellEnd"/>
      <w:r>
        <w:t xml:space="preserve"> liver disease (MASLD), formerly nonalcoholic fatty liver disease (NAFLD), encompasses a spectrum of liver conditions ranging from isolated hepatic steatosis to metabolic dysfunction-associated steatohepatitis (MASH), formerly nonalcoholic steatohepatitis (NASH). The nomenclature was updated in 2023 through a </w:t>
      </w:r>
      <w:proofErr w:type="spellStart"/>
      <w:r>
        <w:t>multisociety</w:t>
      </w:r>
      <w:proofErr w:type="spellEnd"/>
      <w:r>
        <w:t xml:space="preserve"> Delphi consensus process led by three major international liver associations, with 236 panelists from 56 countries participating.¹ The terms "nonalcoholic" and "fatty" were deemed stigmatizing by 61% and 66% of respondents, respectively.¹ The diagnosis of MASLD requires the presence of hepatic steatosis plus at least one of five cardiometabolic risk factors: overweight/obesity, prediabetes or type 2 diabetes, hypertension, elevated triglycerides, or low HDL cholesterol.¹ MASH specifically denotes the progressive subtype characterized by steatosis with lobular inflammation and hepatocyte ballooning, which can progress to fibrosis, cirrhosis, and hepatocellular carcinoma (HCC).²</w:t>
      </w:r>
    </w:p>
    <w:p w:rsidR="00992596" w:rsidRDefault="00000000" w14:paraId="2E573D1A" w14:textId="77777777">
      <w:r>
        <w:t>Epidemiology and Disease Burden</w:t>
      </w:r>
    </w:p>
    <w:p w:rsidR="00992596" w:rsidRDefault="00000000" w14:paraId="63CFE489" w14:textId="77777777">
      <w:r>
        <w:t>MASLD is the most common chronic liver disease worldwide, affecting approximately 30% to 40% of the general adult population, including approximately 60% to 70% of individuals with type 2 diabetes and approximately 70% to 80% of those with obesity.² The estimated global prevalence of MASH is approximately 4% to 6%.³ Once MASH progresses to clinically meaningful fibrosis (stages F2 and F3), the risk of adverse clinical outcomes markedly increases, especially among patients with type 2 diabetes.³ MASH is now the second leading cause of liver transplantation in the United States.⁴</w:t>
      </w:r>
    </w:p>
    <w:p w:rsidR="00992596" w:rsidRDefault="00000000" w14:paraId="397F50A9" w14:textId="77777777">
      <w:r>
        <w:t>Critically, cardiovascular disease is the leading cause of death in individuals with MASLD, followed by extrahepatic cancers (primarily gastrointestinal, breast, and gynecologic) and liver-related complications.² A comprehensive meta-analysis demonstrated that MASLD increases the risk of fatal and nonfatal cardiovascular disease events by a factor of 1.5 independent of traditional risk factors, with this risk increasing to approximately 2.5 in persons with higher stages of fibrosis.⁵ Liver-related complications, including cirrhosis, hepatic decompensation, and HCC, account for approximately 10% of deaths overall but become the predominant cause of mortality in individuals with MASLD-related cirrhosis.²</w:t>
      </w:r>
    </w:p>
    <w:p w:rsidR="00992596" w:rsidRDefault="00000000" w14:paraId="644624A8" w14:textId="77777777">
      <w:r>
        <w:t>Pathophysiology and Rationale for THR-β Agonism</w:t>
      </w:r>
    </w:p>
    <w:p w:rsidR="00992596" w:rsidRDefault="00000000" w14:paraId="71F922E3" w14:textId="77777777">
      <w:r>
        <w:lastRenderedPageBreak/>
        <w:t xml:space="preserve">The pathogenesis of MASH involves a "multiple-hit" model driven by insulin resistance, </w:t>
      </w:r>
      <w:proofErr w:type="spellStart"/>
      <w:r>
        <w:t>lipotoxicity</w:t>
      </w:r>
      <w:proofErr w:type="spellEnd"/>
      <w:r>
        <w:t>, oxidative stress, mitochondrial dysfunction, and chronic inflammation leading to progressive fibrogenesis.² In MASH, thyroid hormone receptor beta (THR-β) function in the liver is impaired, leading to reduced mitochondrial function and decreased β-oxidation of fatty acids, which contributes to intrahepatic lipid accumulation and fibrosis.³ THR-β is the predominant thyroid hormone receptor isoform in the liver, and its selective activation promotes fatty acid oxidation, enhances mitochondrial biogenesis, inhibits de novo lipogenesis, and increases cholesterol conversion to bile acids — collectively reducing intrahepatic triglyceride content and improving circulating atherogenic lipid profiles.⁶ Importantly, THR-β selectivity minimizes off-target THR-α–mediated effects on the heart (tachyarrhythmias) and bone (osteoporosis), which have historically limited the therapeutic use of thyroid hormone analogs.⁶</w:t>
      </w:r>
    </w:p>
    <w:p w:rsidR="00992596" w:rsidRDefault="00000000" w14:paraId="7DBC40D8" w14:textId="77777777">
      <w:r>
        <w:t>Unmet Need and Prior Treatment Landscape</w:t>
      </w:r>
    </w:p>
    <w:p w:rsidR="00992596" w:rsidRDefault="00000000" w14:paraId="3A108B57" w14:textId="77777777">
      <w:r>
        <w:t>Prior to March 2024, there was no FDA-approved pharmacologic treatment for MASH.³ Management was limited to lifestyle modification (hypocaloric diet, exercise, weight loss of ≥5–10%), with off-label pharmacotherapy options including pioglitazone (shown to improve NASH resolution in phase 2 trials but with weight gain, fracture risk, and heart failure concerns), vitamin E (limited to non-diabetic patients, no fibrosis benefit), and GLP-1 receptor agonists (metabolic benefits but, at the time, no phase 3 histologic MASH data).⁷ No prior therapy had demonstrated both NASH resolution and fibrosis improvement in a phase 3 trial, representing a critical unmet need.</w:t>
      </w:r>
    </w:p>
    <w:p w:rsidR="00992596" w:rsidRDefault="00000000" w14:paraId="27BE5F99" w14:textId="77777777">
      <w:r>
        <w:t>---</w:t>
      </w:r>
    </w:p>
    <w:p w:rsidR="00992596" w:rsidRDefault="00000000" w14:paraId="4D664600" w14:textId="77777777">
      <w:r>
        <w:t>PHARMACOLOGY</w:t>
      </w:r>
    </w:p>
    <w:p w:rsidR="00992596" w:rsidRDefault="00000000" w14:paraId="67984A89" w14:textId="77777777">
      <w:r>
        <w:t>Mechanism of Action</w:t>
      </w:r>
    </w:p>
    <w:p w:rsidR="00992596" w:rsidRDefault="00000000" w14:paraId="5870501F" w14:textId="77777777">
      <w:proofErr w:type="spellStart"/>
      <w:r>
        <w:t>Resmetirom</w:t>
      </w:r>
      <w:proofErr w:type="spellEnd"/>
      <w:r>
        <w:t xml:space="preserve"> (</w:t>
      </w:r>
      <w:proofErr w:type="spellStart"/>
      <w:r>
        <w:t>Rezdiffra</w:t>
      </w:r>
      <w:proofErr w:type="spellEnd"/>
      <w:r>
        <w:t xml:space="preserve">) is an oral, liver-directed, partial agonist of the thyroid hormone receptor-beta (THR-β).⁸ In an in vitro functional assay, </w:t>
      </w:r>
      <w:proofErr w:type="spellStart"/>
      <w:r>
        <w:t>resmetirom</w:t>
      </w:r>
      <w:proofErr w:type="spellEnd"/>
      <w:r>
        <w:t xml:space="preserve"> produced 83.8% of the maximum response compared to triiodothyronine (T3) for THR-β activation, with an EC₅₀ of 0.21 µM.⁸ The same assay for THR-α showed only 48.6% efficacy relative to T3, with an EC₅₀ of 3.74 µM — demonstrating approximately 18-fold selectivity for THR-β over THR-α.⁸ By selectively activating hepatic THR-β, </w:t>
      </w:r>
      <w:proofErr w:type="spellStart"/>
      <w:r>
        <w:t>resmetirom</w:t>
      </w:r>
      <w:proofErr w:type="spellEnd"/>
      <w:r>
        <w:t xml:space="preserve"> promotes fatty acid oxidation, improves mitochondrial function, reduces intrahepatic triglyceride content, and enhances hepatic cholesterol metabolism, resulting in reductions in LDL cholesterol, triglycerides, apolipoprotein B, and lipoprotein(a).⁶ </w:t>
      </w:r>
      <w:proofErr w:type="spellStart"/>
      <w:r>
        <w:t>Resmetirom</w:t>
      </w:r>
      <w:proofErr w:type="spellEnd"/>
      <w:r>
        <w:t xml:space="preserve"> decreases liver fat content as measured by MRI-PDFF and </w:t>
      </w:r>
      <w:proofErr w:type="spellStart"/>
      <w:r>
        <w:t>FibroScan</w:t>
      </w:r>
      <w:proofErr w:type="spellEnd"/>
      <w:r>
        <w:t xml:space="preserve"> controlled attenuation parameter (CAP), with reductions observed as early as 16 weeks.⁸</w:t>
      </w:r>
    </w:p>
    <w:p w:rsidR="00992596" w:rsidRDefault="00000000" w14:paraId="67BE93BF" w14:textId="77777777">
      <w:r>
        <w:t>Pharmacokinetics</w:t>
      </w:r>
    </w:p>
    <w:p w:rsidR="00992596" w:rsidRDefault="00000000" w14:paraId="1536E21A" w14:textId="77777777">
      <w:proofErr w:type="spellStart"/>
      <w:r>
        <w:t>Resmetirom</w:t>
      </w:r>
      <w:proofErr w:type="spellEnd"/>
      <w:r>
        <w:t xml:space="preserve"> is administered orally once daily and may be taken with or without food, though concomitant food administration decreases </w:t>
      </w:r>
      <w:proofErr w:type="spellStart"/>
      <w:r>
        <w:t>Cmax</w:t>
      </w:r>
      <w:proofErr w:type="spellEnd"/>
      <w:r>
        <w:t xml:space="preserve"> by 33% and AUC by 11% with a delay in median </w:t>
      </w:r>
      <w:proofErr w:type="spellStart"/>
      <w:r>
        <w:t>Tmax</w:t>
      </w:r>
      <w:proofErr w:type="spellEnd"/>
      <w:r>
        <w:t xml:space="preserve"> by approximately 2 hours.⁸ The apparent volume of distribution at steady state </w:t>
      </w:r>
      <w:r>
        <w:lastRenderedPageBreak/>
        <w:t xml:space="preserve">is 68 L, and </w:t>
      </w:r>
      <w:proofErr w:type="spellStart"/>
      <w:r>
        <w:t>resmetirom</w:t>
      </w:r>
      <w:proofErr w:type="spellEnd"/>
      <w:r>
        <w:t xml:space="preserve"> is greater than 99% protein-bound.⁸ The median terminal plasma half-life is 4.5 hours, and steady-state apparent clearance is 17.5 L/h.⁸ </w:t>
      </w:r>
      <w:proofErr w:type="spellStart"/>
      <w:r>
        <w:t>Resmetirom</w:t>
      </w:r>
      <w:proofErr w:type="spellEnd"/>
      <w:r>
        <w:t xml:space="preserve"> is metabolized primarily by CYP2C8; MGL-3623 is the major metabolite, with 28-fold lower potency for THR-β than the parent compound, representing 33% to 51% of </w:t>
      </w:r>
      <w:proofErr w:type="spellStart"/>
      <w:r>
        <w:t>resmetirom</w:t>
      </w:r>
      <w:proofErr w:type="spellEnd"/>
      <w:r>
        <w:t xml:space="preserve"> AUC at steady state.⁸ </w:t>
      </w:r>
      <w:proofErr w:type="spellStart"/>
      <w:r>
        <w:t>Resmetirom</w:t>
      </w:r>
      <w:proofErr w:type="spellEnd"/>
      <w:r>
        <w:t xml:space="preserve"> is a substrate for OATP1B1, OATP1B3, and BCRP transporters.⁸ Excretion is predominantly fecal (67% of total radioactive dose, mostly as metabolites) with 24% recovered in urine; unchanged </w:t>
      </w:r>
      <w:proofErr w:type="spellStart"/>
      <w:r>
        <w:t>resmetirom</w:t>
      </w:r>
      <w:proofErr w:type="spellEnd"/>
      <w:r>
        <w:t xml:space="preserve"> was not detected in feces and accounted for only 1% of the urinary dose.⁸</w:t>
      </w:r>
    </w:p>
    <w:p w:rsidR="00992596" w:rsidRDefault="00000000" w14:paraId="758CBF82" w14:textId="77777777">
      <w:r>
        <w:t>Drug Interactions</w:t>
      </w:r>
    </w:p>
    <w:p w:rsidR="00992596" w:rsidRDefault="00000000" w14:paraId="339BC3AE" w14:textId="77777777">
      <w:r>
        <w:t xml:space="preserve">Drug interactions with </w:t>
      </w:r>
      <w:proofErr w:type="spellStart"/>
      <w:r>
        <w:t>resmetirom</w:t>
      </w:r>
      <w:proofErr w:type="spellEnd"/>
      <w:r>
        <w:t xml:space="preserve"> are clinically significant and represent a key area for pharmacist intervention:</w:t>
      </w:r>
    </w:p>
    <w:p w:rsidR="00992596" w:rsidRDefault="00000000" w14:paraId="79AEC1F3" w14:textId="77777777">
      <w:r>
        <w:t xml:space="preserve">CYP2C8 Inhibitors: </w:t>
      </w:r>
      <w:proofErr w:type="spellStart"/>
      <w:r>
        <w:t>Resmetirom</w:t>
      </w:r>
      <w:proofErr w:type="spellEnd"/>
      <w:r>
        <w:t xml:space="preserve"> is a CYP2C8 substrate. Coadministration with the moderate CYP2C8 inhibitor clopidogrel increased </w:t>
      </w:r>
      <w:proofErr w:type="spellStart"/>
      <w:r>
        <w:t>resmetirom</w:t>
      </w:r>
      <w:proofErr w:type="spellEnd"/>
      <w:r>
        <w:t xml:space="preserve"> </w:t>
      </w:r>
      <w:proofErr w:type="spellStart"/>
      <w:r>
        <w:t>Cmax</w:t>
      </w:r>
      <w:proofErr w:type="spellEnd"/>
      <w:r>
        <w:t xml:space="preserve"> by 1.3-fold and AUC by 1.7-fold.⁸ When used concurrently with a moderate CYP2C8 inhibitor, a dose reduction is recommended: 80 mg/day for patients ≥100 kg, 60 mg/day for patients 100 kg.⁹ Strong CYP2C8 inhibitors (e.g., gemfibrozil) should be avoided due to the potential for significant increases in </w:t>
      </w:r>
      <w:proofErr w:type="spellStart"/>
      <w:r>
        <w:t>resmetirom</w:t>
      </w:r>
      <w:proofErr w:type="spellEnd"/>
      <w:r>
        <w:t xml:space="preserve"> exposure.⁹</w:t>
      </w:r>
    </w:p>
    <w:p w:rsidR="00992596" w:rsidRDefault="00000000" w14:paraId="40537C04" w14:textId="77777777">
      <w:r>
        <w:t xml:space="preserve">OATP1B1/1B3 Substrates (Statins): </w:t>
      </w:r>
      <w:proofErr w:type="spellStart"/>
      <w:r>
        <w:t>Resmetirom</w:t>
      </w:r>
      <w:proofErr w:type="spellEnd"/>
      <w:r>
        <w:t xml:space="preserve"> inhibits OATP1B1 and OATP1B3 transporters, increasing the exposure of statins that are substrates for these </w:t>
      </w:r>
      <w:proofErr w:type="gramStart"/>
      <w:r>
        <w:t>transporters.⁸</w:t>
      </w:r>
      <w:proofErr w:type="gramEnd"/>
      <w:r>
        <w:t xml:space="preserve"> Specific statin dose caps when </w:t>
      </w:r>
      <w:proofErr w:type="spellStart"/>
      <w:r>
        <w:t>coadministered</w:t>
      </w:r>
      <w:proofErr w:type="spellEnd"/>
      <w:r>
        <w:t xml:space="preserve"> with </w:t>
      </w:r>
      <w:proofErr w:type="spellStart"/>
      <w:r>
        <w:t>resmetirom</w:t>
      </w:r>
      <w:proofErr w:type="spellEnd"/>
      <w:r>
        <w:t xml:space="preserve"> </w:t>
      </w:r>
      <w:proofErr w:type="gramStart"/>
      <w:r>
        <w:t>are:⁹</w:t>
      </w:r>
      <w:proofErr w:type="gramEnd"/>
    </w:p>
    <w:p w:rsidR="00992596" w:rsidRDefault="00000000" w14:paraId="5DC97F4A" w14:textId="77777777">
      <w:r>
        <w:t>- Rosuvastatin: maximum 20 mg/day</w:t>
      </w:r>
    </w:p>
    <w:p w:rsidR="00992596" w:rsidRDefault="00000000" w14:paraId="162531EC" w14:textId="77777777">
      <w:r>
        <w:t>- Simvastatin: maximum 20 mg/day</w:t>
      </w:r>
    </w:p>
    <w:p w:rsidR="00992596" w:rsidRDefault="00000000" w14:paraId="2BF8DDC3" w14:textId="77777777">
      <w:r>
        <w:t>- Atorvastatin: maximum 40 mg/day</w:t>
      </w:r>
    </w:p>
    <w:p w:rsidR="00992596" w:rsidRDefault="00000000" w14:paraId="05605012" w14:textId="77777777">
      <w:r>
        <w:t>- Pravastatin: maximum 40 mg/day</w:t>
      </w:r>
    </w:p>
    <w:p w:rsidR="00992596" w:rsidRDefault="00000000" w14:paraId="5AEC67ED" w14:textId="77777777">
      <w:r>
        <w:t xml:space="preserve">Patients should be monitored for statin-related adverse reactions including elevation of liver tests, myopathy, and </w:t>
      </w:r>
      <w:proofErr w:type="gramStart"/>
      <w:r>
        <w:t>rhabdomyolysis.⁸</w:t>
      </w:r>
      <w:proofErr w:type="gramEnd"/>
    </w:p>
    <w:p w:rsidR="00992596" w:rsidRDefault="00000000" w14:paraId="3A5BE170" w14:textId="77777777">
      <w:r>
        <w:t xml:space="preserve">CYP2C8 Substrates: Pioglitazone AUC increased 1.5-fold when </w:t>
      </w:r>
      <w:proofErr w:type="spellStart"/>
      <w:r>
        <w:t>coadministered</w:t>
      </w:r>
      <w:proofErr w:type="spellEnd"/>
      <w:r>
        <w:t xml:space="preserve"> with </w:t>
      </w:r>
      <w:proofErr w:type="spellStart"/>
      <w:r>
        <w:t>resmetirom</w:t>
      </w:r>
      <w:proofErr w:type="spellEnd"/>
      <w:r>
        <w:t xml:space="preserve"> at steady </w:t>
      </w:r>
      <w:proofErr w:type="gramStart"/>
      <w:r>
        <w:t>state.⁸</w:t>
      </w:r>
      <w:proofErr w:type="gramEnd"/>
      <w:r>
        <w:t xml:space="preserve"> Although more data are needed, concomitant administration of pioglitazone and </w:t>
      </w:r>
      <w:proofErr w:type="spellStart"/>
      <w:r>
        <w:t>resmetirom</w:t>
      </w:r>
      <w:proofErr w:type="spellEnd"/>
      <w:r>
        <w:t xml:space="preserve"> should be approached with </w:t>
      </w:r>
      <w:proofErr w:type="gramStart"/>
      <w:r>
        <w:t>caution.¹</w:t>
      </w:r>
      <w:proofErr w:type="gramEnd"/>
      <w:r>
        <w:t>⁰</w:t>
      </w:r>
    </w:p>
    <w:p w:rsidR="00992596" w:rsidRDefault="00000000" w14:paraId="71E46691" w14:textId="77777777">
      <w:r>
        <w:t xml:space="preserve">Other: </w:t>
      </w:r>
      <w:proofErr w:type="spellStart"/>
      <w:r>
        <w:t>Resmetirom</w:t>
      </w:r>
      <w:proofErr w:type="spellEnd"/>
      <w:r>
        <w:t xml:space="preserve"> is also an inhibitor of UGT1A4, UGT1A9, OAT3, and BSEP, though the clinical significance of these interactions is </w:t>
      </w:r>
      <w:proofErr w:type="gramStart"/>
      <w:r>
        <w:t>unknown.⁸</w:t>
      </w:r>
      <w:proofErr w:type="gramEnd"/>
      <w:r>
        <w:t xml:space="preserve"> No clinically significant interaction was observed with warfarin or </w:t>
      </w:r>
      <w:proofErr w:type="gramStart"/>
      <w:r>
        <w:t>cyclosporine.⁸</w:t>
      </w:r>
      <w:proofErr w:type="gramEnd"/>
    </w:p>
    <w:p w:rsidR="00992596" w:rsidRDefault="00000000" w14:paraId="623FC38E" w14:textId="77777777">
      <w:r>
        <w:t>---</w:t>
      </w:r>
    </w:p>
    <w:p w:rsidR="00992596" w:rsidRDefault="00000000" w14:paraId="433E1A98" w14:textId="77777777">
      <w:r>
        <w:t>PIVOTAL EFFICACY TRIAL — MAESTRO-NASH</w:t>
      </w:r>
    </w:p>
    <w:p w:rsidR="00992596" w:rsidRDefault="00000000" w14:paraId="408F044C" w14:textId="77777777">
      <w:r>
        <w:lastRenderedPageBreak/>
        <w:t xml:space="preserve">Harrison SA, </w:t>
      </w:r>
      <w:proofErr w:type="spellStart"/>
      <w:r>
        <w:t>Bedossa</w:t>
      </w:r>
      <w:proofErr w:type="spellEnd"/>
      <w:r>
        <w:t xml:space="preserve"> P, Guy CD, et al. A Phase 3, Randomized, Controlled Trial of </w:t>
      </w:r>
      <w:proofErr w:type="spellStart"/>
      <w:r>
        <w:t>Resmetirom</w:t>
      </w:r>
      <w:proofErr w:type="spellEnd"/>
      <w:r>
        <w:t xml:space="preserve"> in NASH with Liver Fibrosis. N Engl J Med. 2024;390(6):497-509.</w:t>
      </w:r>
    </w:p>
    <w:p w:rsidR="00992596" w:rsidRDefault="00000000" w14:paraId="49A4B199" w14:textId="77777777">
      <w:r>
        <w:t>Study Design and Methods</w:t>
      </w:r>
    </w:p>
    <w:p w:rsidR="00992596" w:rsidRDefault="00000000" w14:paraId="4E3E1A31" w14:textId="77777777">
      <w:r>
        <w:t xml:space="preserve">MAESTRO-NASH is an ongoing phase 3, multicenter, randomized, double-blind, placebo-controlled trial evaluating the efficacy and safety of </w:t>
      </w:r>
      <w:proofErr w:type="spellStart"/>
      <w:r>
        <w:t>resmetirom</w:t>
      </w:r>
      <w:proofErr w:type="spellEnd"/>
      <w:r>
        <w:t xml:space="preserve"> in adults with biopsy-confirmed NASH and liver fibrosis.³ Patients were randomly assigned in a 1:1:1 ratio to receive once-daily oral </w:t>
      </w:r>
      <w:proofErr w:type="spellStart"/>
      <w:r>
        <w:t>resmetirom</w:t>
      </w:r>
      <w:proofErr w:type="spellEnd"/>
      <w:r>
        <w:t xml:space="preserve"> 80 mg, </w:t>
      </w:r>
      <w:proofErr w:type="spellStart"/>
      <w:r>
        <w:t>resmetirom</w:t>
      </w:r>
      <w:proofErr w:type="spellEnd"/>
      <w:r>
        <w:t xml:space="preserve"> 100 mg, or placebo.³ The primary analysis population included 966 patients with baseline fibrosis stages of F1B (moderate), F2 (moderate), or F3 (advanced) and meeting criteria for NASH (NAFLD Activity Score [NAS] ≥4 with a score of ≥1 in each component: steatosis, ballooning, and inflammation) based on central pathologist scoring from two independent readers.³</w:t>
      </w:r>
    </w:p>
    <w:p w:rsidR="00992596" w:rsidRDefault="00000000" w14:paraId="3F7F9AF3" w14:textId="77777777">
      <w:r>
        <w:t>Key inclusion criteria required age ≥18 years, ≥3 metabolic risk factors, definite steatohepatitis on liver biopsy obtained within 6 months of randomization, ≥8% hepatic fat by MRI-PDFF, and VCTE ≥8.5 kPa at screening.¹¹ Key exclusion criteria included cirrhosis (F4), other causes of chronic liver disease, significant alcohol consumption (&gt;20 g/day for women, &gt;30 g/day for men), and initiation or dose modification of GLP-1 receptor agonists, thiazolidinediones, or vitamin E within 6 months of randomization.¹¹ Weight was required to be stable (5% change in 3 months).¹²</w:t>
      </w:r>
    </w:p>
    <w:p w:rsidR="00992596" w:rsidRDefault="00000000" w14:paraId="1D682B41" w14:textId="77777777">
      <w:r>
        <w:t xml:space="preserve">The trial has two co-primary endpoints at week </w:t>
      </w:r>
      <w:proofErr w:type="gramStart"/>
      <w:r>
        <w:t>52:³</w:t>
      </w:r>
      <w:proofErr w:type="gramEnd"/>
    </w:p>
    <w:p w:rsidR="00992596" w:rsidRDefault="00000000" w14:paraId="40502153" w14:textId="77777777">
      <w:r>
        <w:t>1. NASH resolution — defined as hepatocellular ballooning score of 0, lobular inflammation score of 0 or 1, and a reduction in NAS by ≥2 points — with no worsening of fibrosis.</w:t>
      </w:r>
    </w:p>
    <w:p w:rsidR="00992596" w:rsidRDefault="00000000" w14:paraId="5D1B3648" w14:textId="77777777">
      <w:r>
        <w:t>2. Fibrosis improvement by ≥1 stage with no worsening of the NAS.</w:t>
      </w:r>
    </w:p>
    <w:p w:rsidR="00992596" w:rsidRDefault="00000000" w14:paraId="77FE4CC8" w14:textId="77777777">
      <w:r>
        <w:t>The key secondary endpoint was percent change from baseline in LDL cholesterol at week 24.³ The trial continues blinded for 54 months to evaluate a composite clinical outcome endpoint (all-cause mortality, liver transplant, hepatic decompensation events, histological progression to cirrhosis, and confirmed increase in MELD score from 12 to ≥15) to support full FDA approval.¹¹</w:t>
      </w:r>
    </w:p>
    <w:p w:rsidR="00992596" w:rsidRDefault="00000000" w14:paraId="71D492AF" w14:textId="77777777">
      <w:r>
        <w:t>Efficacy Results</w:t>
      </w:r>
    </w:p>
    <w:p w:rsidR="00992596" w:rsidRDefault="00000000" w14:paraId="030C3180" w14:textId="77777777">
      <w:r>
        <w:t xml:space="preserve">The primary analysis population comprised 966 patients: 322 in the 80-mg group, 323 in the 100-mg group, and 321 in the placebo </w:t>
      </w:r>
      <w:proofErr w:type="gramStart"/>
      <w:r>
        <w:t>group.³</w:t>
      </w:r>
      <w:proofErr w:type="gramEnd"/>
    </w:p>
    <w:p w:rsidR="00992596" w:rsidRDefault="00000000" w14:paraId="05D39A99" w14:textId="77777777">
      <w:r>
        <w:t xml:space="preserve">Co-Primary Endpoint 1 — NASH Resolution Without Worsening of </w:t>
      </w:r>
      <w:proofErr w:type="gramStart"/>
      <w:r>
        <w:t>Fibrosis:³</w:t>
      </w:r>
      <w:proofErr w:type="gramEnd"/>
    </w:p>
    <w:p w:rsidR="00992596" w:rsidRDefault="00000000" w14:paraId="21DEA1AC" w14:textId="77777777">
      <w:r>
        <w:t xml:space="preserve">- 80 mg </w:t>
      </w:r>
      <w:proofErr w:type="spellStart"/>
      <w:r>
        <w:t>resmetirom</w:t>
      </w:r>
      <w:proofErr w:type="spellEnd"/>
      <w:r>
        <w:t>: 25.9% (P0.001 vs. placebo)</w:t>
      </w:r>
    </w:p>
    <w:p w:rsidR="00992596" w:rsidRDefault="00000000" w14:paraId="74ED15E5" w14:textId="77777777">
      <w:r>
        <w:t xml:space="preserve">- 100 mg </w:t>
      </w:r>
      <w:proofErr w:type="spellStart"/>
      <w:r>
        <w:t>resmetirom</w:t>
      </w:r>
      <w:proofErr w:type="spellEnd"/>
      <w:r>
        <w:t>: 29.9% (P0.001 vs. placebo)</w:t>
      </w:r>
    </w:p>
    <w:p w:rsidR="00992596" w:rsidRDefault="00000000" w14:paraId="466DDBA7" w14:textId="77777777">
      <w:r>
        <w:t>- Placebo: 9.7%</w:t>
      </w:r>
    </w:p>
    <w:p w:rsidR="00992596" w:rsidRDefault="00000000" w14:paraId="7F9075A6" w14:textId="77777777">
      <w:r>
        <w:lastRenderedPageBreak/>
        <w:t>- Absolute risk difference: 16.4 percentage points (95% CI, 11.0–21.8) for 80 mg; 20.7 percentage points (95% CI, 15.3–26.2) for 100 mg</w:t>
      </w:r>
    </w:p>
    <w:p w:rsidR="00992596" w:rsidRDefault="00000000" w14:paraId="63FE554B" w14:textId="77777777">
      <w:r>
        <w:t>- NNT: approximately 6 (80 mg) and 5 (100 mg)</w:t>
      </w:r>
    </w:p>
    <w:p w:rsidR="00992596" w:rsidRDefault="00000000" w14:paraId="2F1AFEFB" w14:textId="77777777">
      <w:r>
        <w:t xml:space="preserve">Co-Primary Endpoint 2 — Fibrosis Improvement by ≥1 Stage Without Worsening of </w:t>
      </w:r>
      <w:proofErr w:type="gramStart"/>
      <w:r>
        <w:t>NAS:³</w:t>
      </w:r>
      <w:proofErr w:type="gramEnd"/>
    </w:p>
    <w:p w:rsidR="00992596" w:rsidRDefault="00000000" w14:paraId="39B4A9C4" w14:textId="77777777">
      <w:r>
        <w:t xml:space="preserve">- 80 mg </w:t>
      </w:r>
      <w:proofErr w:type="spellStart"/>
      <w:r>
        <w:t>resmetirom</w:t>
      </w:r>
      <w:proofErr w:type="spellEnd"/>
      <w:r>
        <w:t>: 24.2% (P0.001 vs. placebo)</w:t>
      </w:r>
    </w:p>
    <w:p w:rsidR="00992596" w:rsidRDefault="00000000" w14:paraId="62E1A216" w14:textId="77777777">
      <w:r>
        <w:t xml:space="preserve">- 100 mg </w:t>
      </w:r>
      <w:proofErr w:type="spellStart"/>
      <w:r>
        <w:t>resmetirom</w:t>
      </w:r>
      <w:proofErr w:type="spellEnd"/>
      <w:r>
        <w:t>: 25.9% (P0.001 vs. placebo)</w:t>
      </w:r>
    </w:p>
    <w:p w:rsidR="00992596" w:rsidRDefault="00000000" w14:paraId="051416B0" w14:textId="77777777">
      <w:r>
        <w:t>- Placebo: 14.2%</w:t>
      </w:r>
    </w:p>
    <w:p w:rsidR="00992596" w:rsidRDefault="00000000" w14:paraId="6EB7189B" w14:textId="77777777">
      <w:r>
        <w:t>- Absolute risk difference: 10.2 percentage points (95% CI, 4.8–15.7) for 80 mg; 11.8 percentage points (95% CI, 6.4–17.2) for 100 mg</w:t>
      </w:r>
    </w:p>
    <w:p w:rsidR="00992596" w:rsidRDefault="00000000" w14:paraId="0137D4C5" w14:textId="77777777">
      <w:r>
        <w:t>- NNT: approximately 10 (80 mg) and 9 (100 mg)</w:t>
      </w:r>
    </w:p>
    <w:p w:rsidR="00992596" w:rsidRDefault="00000000" w14:paraId="55EA30C1" w14:textId="77777777">
      <w:r>
        <w:t xml:space="preserve">Both NASH Resolution and Fibrosis Improvement </w:t>
      </w:r>
      <w:proofErr w:type="gramStart"/>
      <w:r>
        <w:t>Combined:³</w:t>
      </w:r>
      <w:proofErr w:type="gramEnd"/>
    </w:p>
    <w:p w:rsidR="00992596" w:rsidRDefault="00000000" w14:paraId="145D35E2" w14:textId="77777777">
      <w:r>
        <w:t>- 80 mg: 14.2% vs. 100 mg: 16.0% vs. placebo: 4.9%</w:t>
      </w:r>
    </w:p>
    <w:p w:rsidR="00992596" w:rsidRDefault="00000000" w14:paraId="56E8CEE8" w14:textId="77777777">
      <w:r>
        <w:t xml:space="preserve">Key Secondary Endpoint — LDL Cholesterol Change from Baseline to Week </w:t>
      </w:r>
      <w:proofErr w:type="gramStart"/>
      <w:r>
        <w:t>24:³</w:t>
      </w:r>
      <w:proofErr w:type="gramEnd"/>
    </w:p>
    <w:p w:rsidR="00992596" w:rsidRDefault="00000000" w14:paraId="3C566FC6" w14:textId="77777777">
      <w:r>
        <w:t>- 80 mg: −13.6%</w:t>
      </w:r>
    </w:p>
    <w:p w:rsidR="00992596" w:rsidRDefault="00000000" w14:paraId="5B0AE26F" w14:textId="77777777">
      <w:r>
        <w:t>- 100 mg: −16.3%</w:t>
      </w:r>
    </w:p>
    <w:p w:rsidR="00992596" w:rsidRDefault="00000000" w14:paraId="4B9D9E8E" w14:textId="77777777">
      <w:r>
        <w:t>- Placebo: +0.1%</w:t>
      </w:r>
    </w:p>
    <w:p w:rsidR="00992596" w:rsidRDefault="00000000" w14:paraId="78D88C71" w14:textId="77777777">
      <w:r>
        <w:t>- P0.001 for both comparisons with placebo</w:t>
      </w:r>
    </w:p>
    <w:p w:rsidR="00992596" w:rsidRDefault="00000000" w14:paraId="2690C99B" w14:textId="77777777">
      <w:r>
        <w:t xml:space="preserve">Additional lipid improvements included reductions in triglycerides, apolipoprotein B, and lipoprotein(a), which are consistent with the THR-β mechanism and may have cardiovascular implications, though this has not yet been demonstrated for </w:t>
      </w:r>
      <w:proofErr w:type="spellStart"/>
      <w:r>
        <w:t>resmetirom</w:t>
      </w:r>
      <w:proofErr w:type="spellEnd"/>
      <w:r>
        <w:t xml:space="preserve"> </w:t>
      </w:r>
      <w:proofErr w:type="gramStart"/>
      <w:r>
        <w:t>specifically.³</w:t>
      </w:r>
      <w:proofErr w:type="gramEnd"/>
    </w:p>
    <w:p w:rsidR="00992596" w:rsidRDefault="00000000" w14:paraId="1B931135" w14:textId="77777777">
      <w:r>
        <w:t xml:space="preserve">Subgroup analyses showed generally consistent results across subgroups defined by baseline fibrosis stage, baseline NAS, type 2 diabetes status, age, and sex.³ A secondary analysis demonstrated that </w:t>
      </w:r>
      <w:proofErr w:type="spellStart"/>
      <w:r>
        <w:t>resmetirom</w:t>
      </w:r>
      <w:proofErr w:type="spellEnd"/>
      <w:r>
        <w:t xml:space="preserve"> efficacy was not impacted by background SGLT2 inhibitor or GLP-1 receptor agonist therapy, and that weight loss ≥5% enhanced </w:t>
      </w:r>
      <w:proofErr w:type="spellStart"/>
      <w:r>
        <w:t>resmetirom's</w:t>
      </w:r>
      <w:proofErr w:type="spellEnd"/>
      <w:r>
        <w:t xml:space="preserve"> efficacy (MASH resolution: 56.6% vs. 33.8% in the 100 mg group with vs. without ≥5% weight loss).¹²</w:t>
      </w:r>
    </w:p>
    <w:p w:rsidR="00992596" w:rsidRDefault="00000000" w14:paraId="7407E62F" w14:textId="77777777">
      <w:r>
        <w:t>Critical Appraisal</w:t>
      </w:r>
    </w:p>
    <w:p w:rsidR="00992596" w:rsidRDefault="00000000" w14:paraId="6E16814C" w14:textId="77777777">
      <w:r>
        <w:t>Strengths:</w:t>
      </w:r>
    </w:p>
    <w:p w:rsidR="00992596" w:rsidRDefault="00000000" w14:paraId="706B33EC" w14:textId="77777777">
      <w:r>
        <w:t xml:space="preserve">- Rigorous design: multicenter, randomized, double-blind, placebo-controlled with central pathologist reading by two independent readers and consensus adjudication for discordant </w:t>
      </w:r>
      <w:proofErr w:type="gramStart"/>
      <w:r>
        <w:t>biopsies.³</w:t>
      </w:r>
      <w:proofErr w:type="gramEnd"/>
    </w:p>
    <w:p w:rsidR="00992596" w:rsidRDefault="00000000" w14:paraId="5BB3D38D" w14:textId="77777777">
      <w:r>
        <w:lastRenderedPageBreak/>
        <w:t xml:space="preserve">- Both co-primary endpoints achieved statistical significance at both doses, with consistent results across multiple sensitivity </w:t>
      </w:r>
      <w:proofErr w:type="gramStart"/>
      <w:r>
        <w:t>analyses.³</w:t>
      </w:r>
      <w:proofErr w:type="gramEnd"/>
    </w:p>
    <w:p w:rsidR="00992596" w:rsidRDefault="00000000" w14:paraId="1CC7BAF1" w14:textId="77777777">
      <w:r>
        <w:t xml:space="preserve">- Subgroup consistency supports generalizability across fibrosis stages, diabetes status, and demographic </w:t>
      </w:r>
      <w:proofErr w:type="gramStart"/>
      <w:r>
        <w:t>subgroups.³</w:t>
      </w:r>
      <w:proofErr w:type="gramEnd"/>
    </w:p>
    <w:p w:rsidR="00992596" w:rsidRDefault="00000000" w14:paraId="355B668D" w14:textId="77777777">
      <w:r>
        <w:t xml:space="preserve">- The trial continues to 54 months for clinical outcomes, which will provide the confirmatory data needed for full </w:t>
      </w:r>
      <w:proofErr w:type="gramStart"/>
      <w:r>
        <w:t>approval.¹</w:t>
      </w:r>
      <w:proofErr w:type="gramEnd"/>
      <w:r>
        <w:t>¹</w:t>
      </w:r>
    </w:p>
    <w:p w:rsidR="00992596" w:rsidRDefault="00000000" w14:paraId="0E79EF24" w14:textId="77777777">
      <w:r>
        <w:t>Limitations:</w:t>
      </w:r>
    </w:p>
    <w:p w:rsidR="00992596" w:rsidRDefault="00000000" w14:paraId="76D7E93A" w14:textId="77777777">
      <w:r>
        <w:t xml:space="preserve">1. Surrogate histologic endpoints: The 52-week co-primary endpoints are histologic surrogates (NASH resolution and fibrosis improvement) considered by the FDA to be "reasonably likely to predict clinical benefit."¹¹ However, it has not yet been demonstrated that these histologic improvements translate into reduced liver-related clinical events (decompensation, transplant, death). The 54-month confirmatory data from the ongoing trial are pending and will be </w:t>
      </w:r>
      <w:proofErr w:type="gramStart"/>
      <w:r>
        <w:t>critical.⁹</w:t>
      </w:r>
      <w:proofErr w:type="gramEnd"/>
    </w:p>
    <w:p w:rsidR="00992596" w:rsidRDefault="00000000" w14:paraId="541B5C44" w14:textId="77777777">
      <w:r>
        <w:t xml:space="preserve">2. Accelerated approval pathway: </w:t>
      </w:r>
      <w:proofErr w:type="spellStart"/>
      <w:r>
        <w:t>Resmetirom</w:t>
      </w:r>
      <w:proofErr w:type="spellEnd"/>
      <w:r>
        <w:t xml:space="preserve"> received accelerated FDA approval in March 2024 based on these surrogate </w:t>
      </w:r>
      <w:proofErr w:type="gramStart"/>
      <w:r>
        <w:t>endpoints.⁹</w:t>
      </w:r>
      <w:proofErr w:type="gramEnd"/>
      <w:r>
        <w:t xml:space="preserve"> Continued approval is contingent upon verification of clinical benefit. If the 54-month outcomes data do not confirm benefit, the approval could theoretically be withdrawn.</w:t>
      </w:r>
    </w:p>
    <w:p w:rsidR="00992596" w:rsidRDefault="00000000" w14:paraId="38AF82D5" w14:textId="77777777">
      <w:r>
        <w:t xml:space="preserve">3. High placebo fibrosis response rate: The 14.2% placebo response rate for fibrosis improvement is notably high and raises questions about biopsy sampling </w:t>
      </w:r>
      <w:proofErr w:type="gramStart"/>
      <w:r>
        <w:t>variability.³</w:t>
      </w:r>
      <w:proofErr w:type="gramEnd"/>
      <w:r>
        <w:t xml:space="preserve"> Liver biopsy samples only approximately 1/50,000th of the liver, and sampling error can lead to both over- and under-estimation of treatment effects. This high placebo rate narrows the absolute treatment difference for the fibrosis endpoint (NNT ~9–10) compared to the NASH resolution endpoint (NNT ~5–6).</w:t>
      </w:r>
    </w:p>
    <w:p w:rsidR="00992596" w:rsidRDefault="00000000" w14:paraId="403AEEF5" w14:textId="77777777">
      <w:r>
        <w:t xml:space="preserve">4. Limited diversity: The trial population was approximately 75% White, which limits generalizability to other racial and ethnic groups who may have different MASH prevalence, progression rates, and treatment </w:t>
      </w:r>
      <w:proofErr w:type="gramStart"/>
      <w:r>
        <w:t>responses.³</w:t>
      </w:r>
      <w:proofErr w:type="gramEnd"/>
    </w:p>
    <w:p w:rsidR="00992596" w:rsidRDefault="00000000" w14:paraId="2FEE1515" w14:textId="77777777">
      <w:r>
        <w:t xml:space="preserve">5. Exclusion of cirrhosis: Patients with F4 (cirrhosis) were excluded, so efficacy and safety in this population are </w:t>
      </w:r>
      <w:proofErr w:type="gramStart"/>
      <w:r>
        <w:t>unknown.³</w:t>
      </w:r>
      <w:proofErr w:type="gramEnd"/>
      <w:r>
        <w:t xml:space="preserve"> A separate trial (MAESTRO-NASH-OUTCOMES) is evaluating </w:t>
      </w:r>
      <w:proofErr w:type="spellStart"/>
      <w:r>
        <w:t>resmetirom</w:t>
      </w:r>
      <w:proofErr w:type="spellEnd"/>
      <w:r>
        <w:t xml:space="preserve"> in well-compensated NASH </w:t>
      </w:r>
      <w:proofErr w:type="gramStart"/>
      <w:r>
        <w:t>cirrhosis.¹</w:t>
      </w:r>
      <w:proofErr w:type="gramEnd"/>
      <w:r>
        <w:t>¹</w:t>
      </w:r>
    </w:p>
    <w:p w:rsidR="00992596" w:rsidRDefault="00000000" w14:paraId="5BAB8591" w14:textId="77777777">
      <w:r>
        <w:t>6. Duration: The 52-week biopsy data represent a relatively short treatment duration for a chronic, progressive disease. Long-term durability of histologic improvements and the effect of treatment discontinuation are unknown.</w:t>
      </w:r>
    </w:p>
    <w:p w:rsidR="00992596" w:rsidRDefault="00000000" w14:paraId="5E2FFBB1" w14:textId="77777777">
      <w:r>
        <w:t xml:space="preserve">7. Industry funding: The trial was funded by Madrigal Pharmaceuticals, the manufacturer of </w:t>
      </w:r>
      <w:proofErr w:type="gramStart"/>
      <w:r>
        <w:t>resmetirom.³</w:t>
      </w:r>
      <w:proofErr w:type="gramEnd"/>
      <w:r>
        <w:t xml:space="preserve"> While this is standard for pivotal drug trials, it should be acknowledged as a potential source of bias.</w:t>
      </w:r>
    </w:p>
    <w:p w:rsidR="00992596" w:rsidRDefault="00000000" w14:paraId="71D7A457" w14:textId="77777777">
      <w:r>
        <w:t xml:space="preserve">8. Modest absolute treatment effects: While statistically significant, the absolute treatment differences are modest — approximately 70–75% of treated patients did not achieve either </w:t>
      </w:r>
      <w:r>
        <w:lastRenderedPageBreak/>
        <w:t xml:space="preserve">primary endpoint at 52 </w:t>
      </w:r>
      <w:proofErr w:type="gramStart"/>
      <w:r>
        <w:t>weeks.⁹</w:t>
      </w:r>
      <w:proofErr w:type="gramEnd"/>
      <w:r>
        <w:t xml:space="preserve"> This underscores the need for better patient selection biomarkers and potentially combination therapy approaches.</w:t>
      </w:r>
    </w:p>
    <w:p w:rsidR="00992596" w:rsidRDefault="00000000" w14:paraId="78C8A526" w14:textId="77777777">
      <w:r>
        <w:t>---</w:t>
      </w:r>
    </w:p>
    <w:p w:rsidR="00992596" w:rsidRDefault="00000000" w14:paraId="44749346" w14:textId="77777777">
      <w:r>
        <w:t>SAFETY TRIAL — MAESTRO-NAFLD-1</w:t>
      </w:r>
    </w:p>
    <w:p w:rsidR="00992596" w:rsidRDefault="00000000" w14:paraId="4742B0A2" w14:textId="77777777">
      <w:r>
        <w:t xml:space="preserve">Harrison SA, Taub R, Neff GW, et al. </w:t>
      </w:r>
      <w:proofErr w:type="spellStart"/>
      <w:r>
        <w:t>Resmetirom</w:t>
      </w:r>
      <w:proofErr w:type="spellEnd"/>
      <w:r>
        <w:t xml:space="preserve"> for Nonalcoholic Fatty Liver Disease: A Randomized, Double-Blind, Placebo-Controlled Phase 3 Trial. Nat Med. 2023;29(11):2919-2928.</w:t>
      </w:r>
    </w:p>
    <w:p w:rsidR="00992596" w:rsidRDefault="00000000" w14:paraId="647F0646" w14:textId="77777777">
      <w:r>
        <w:t>Study Design and Purpose</w:t>
      </w:r>
    </w:p>
    <w:p w:rsidR="00992596" w:rsidRDefault="00000000" w14:paraId="782099F2" w14:textId="77777777">
      <w:r>
        <w:t>MAESTRO-NAFLD-1 is a distinct phase 3, 52-week, randomized, double-blind, placebo-controlled trial designed primarily to evaluate the safety and tolerability of resmetirom.¹³ Unlike MAESTRO-NASH, this trial enrolled patients with NAFLD and presumed NASH identified through noninvasive testing rather than liver biopsy, making it more representative of how patients would be identified in clinical practice.¹³</w:t>
      </w:r>
    </w:p>
    <w:p w:rsidR="00992596" w:rsidRDefault="00000000" w14:paraId="15BED60C" w14:textId="77777777">
      <w:r>
        <w:t xml:space="preserve">A total of 1,143 patients were randomized to three double-blind arms — </w:t>
      </w:r>
      <w:proofErr w:type="spellStart"/>
      <w:r>
        <w:t>resmetirom</w:t>
      </w:r>
      <w:proofErr w:type="spellEnd"/>
      <w:r>
        <w:t xml:space="preserve"> 100 mg (n=325), </w:t>
      </w:r>
      <w:proofErr w:type="spellStart"/>
      <w:r>
        <w:t>resmetirom</w:t>
      </w:r>
      <w:proofErr w:type="spellEnd"/>
      <w:r>
        <w:t xml:space="preserve"> 80 mg (n=327), or placebo (n=320) — plus an open-label </w:t>
      </w:r>
      <w:proofErr w:type="spellStart"/>
      <w:r>
        <w:t>resmetirom</w:t>
      </w:r>
      <w:proofErr w:type="spellEnd"/>
      <w:r>
        <w:t xml:space="preserve"> 100 mg arm (n=171).¹³ The primary endpoint was the incidence of treatment-emergent adverse events (TEAEs) over 52 weeks.¹³ Key secondary endpoints included changes in LDL-C, apolipoprotein B, and triglycerides at 24 weeks; hepatic fat by MRI-PDFF at 16 and 52 weeks; and liver stiffness by VCTE at 52 weeks.¹³</w:t>
      </w:r>
    </w:p>
    <w:p w:rsidR="00992596" w:rsidRDefault="00000000" w14:paraId="55264B06" w14:textId="77777777">
      <w:r>
        <w:t>Safety Results</w:t>
      </w:r>
    </w:p>
    <w:p w:rsidR="00992596" w:rsidRDefault="00000000" w14:paraId="3918F5A7" w14:textId="77777777">
      <w:r>
        <w:t>Overall TEAEs were similar across groups: 86.5% (open-label 100 mg), 86.1% (double-blind 100 mg), 88.4% (80 mg), and 81.8% (placebo</w:t>
      </w:r>
      <w:proofErr w:type="gramStart"/>
      <w:r>
        <w:t>).¹</w:t>
      </w:r>
      <w:proofErr w:type="gramEnd"/>
      <w:r>
        <w:t>³ Most adverse events were mild or moderate in severity.</w:t>
      </w:r>
    </w:p>
    <w:p w:rsidR="00992596" w:rsidRDefault="00000000" w14:paraId="0D94E4A8" w14:textId="77777777">
      <w:r>
        <w:t xml:space="preserve">Gastrointestinal Events: Diarrhea occurred in 24% to 34% and nausea in 12% to 22% of </w:t>
      </w:r>
      <w:proofErr w:type="spellStart"/>
      <w:r>
        <w:t>resmetirom</w:t>
      </w:r>
      <w:proofErr w:type="spellEnd"/>
      <w:r>
        <w:t>-treated participants, compared to lower rates with placebo.⁹ Typical onset was less than 12 weeks after initiation and often less than 4 weeks.⁹ The median duration of diarrhea was 15 to 20 days, and approximately 50% of cases were described as "worsening of preexisting diarrhea" or "intermittent/loose stools."³ No episodes of severe diarrhea were reported.³ These GI events were generally self-limiting and are important for patient counseling regarding adherence expectations.</w:t>
      </w:r>
    </w:p>
    <w:p w:rsidR="00992596" w:rsidRDefault="00000000" w14:paraId="2414C478" w14:textId="77777777">
      <w:r>
        <w:t xml:space="preserve">Gallstone Disease: </w:t>
      </w:r>
      <w:proofErr w:type="spellStart"/>
      <w:r>
        <w:t>Resmetirom</w:t>
      </w:r>
      <w:proofErr w:type="spellEnd"/>
      <w:r>
        <w:t xml:space="preserve"> was associated with an increased incidence of symptomatic gallstone disease, though the presence of gallstones and/or a history of biliary colic are not contraindications to </w:t>
      </w:r>
      <w:proofErr w:type="gramStart"/>
      <w:r>
        <w:t>treatment.⁹</w:t>
      </w:r>
      <w:proofErr w:type="gramEnd"/>
      <w:r>
        <w:t xml:space="preserve"> If an acute gallbladder event is suspected, </w:t>
      </w:r>
      <w:proofErr w:type="spellStart"/>
      <w:r>
        <w:t>resmetirom</w:t>
      </w:r>
      <w:proofErr w:type="spellEnd"/>
      <w:r>
        <w:t xml:space="preserve"> should be interrupted until the event is </w:t>
      </w:r>
      <w:proofErr w:type="gramStart"/>
      <w:r>
        <w:t>resolved.⁸</w:t>
      </w:r>
      <w:proofErr w:type="gramEnd"/>
    </w:p>
    <w:p w:rsidR="00992596" w:rsidRDefault="00000000" w14:paraId="4BC1F55A" w14:textId="77777777">
      <w:r>
        <w:t xml:space="preserve">Hepatotoxicity: There was a sole case of severe hepatotoxicity in a participant receiving </w:t>
      </w:r>
      <w:proofErr w:type="spellStart"/>
      <w:r>
        <w:t>resmetirom</w:t>
      </w:r>
      <w:proofErr w:type="spellEnd"/>
      <w:r>
        <w:t>.⁹ The patient developed jaundice with bilirubin 15 times the upper limit of normal, and biopsy showed interface hepatitis consistent with [autoimmune hepatitis](/rare-</w:t>
      </w:r>
      <w:r>
        <w:lastRenderedPageBreak/>
        <w:t xml:space="preserve">disease/autoimmune-hepatitis) versus drug-induced autoimmune-like hepatitis.⁹ In retrospect, this patient met criteria for [primary biliary cholangitis](/rare-disease/primary-biliary-cholangitis) (PBC) and had strongly positive antimitochondrial and antinuclear antibodies at baseline.⁹ The adjudication committee assessed a 25% to 50% likelihood that </w:t>
      </w:r>
      <w:proofErr w:type="spellStart"/>
      <w:r>
        <w:t>resmetirom</w:t>
      </w:r>
      <w:proofErr w:type="spellEnd"/>
      <w:r>
        <w:t xml:space="preserve"> contributed to this hepatotoxicity.⁹ This case is the primary driver of the recommendation for regular hepatic function panel monitoring and the contraindication in patients with active autoimmune liver disease.</w:t>
      </w:r>
    </w:p>
    <w:p w:rsidR="00992596" w:rsidRDefault="00000000" w14:paraId="6AEE5BA7" w14:textId="77777777">
      <w:r>
        <w:t xml:space="preserve">Hormonal Changes: </w:t>
      </w:r>
      <w:proofErr w:type="spellStart"/>
      <w:r>
        <w:t>Resmetirom</w:t>
      </w:r>
      <w:proofErr w:type="spellEnd"/>
      <w:r>
        <w:t xml:space="preserve"> reduced circulating levels of free thyroxine (free T4) by approximately 15% to 20%, independent of thyroxine-replacement status, with no effect on levels of serum thyrotropin (TSH) or the active thyroid hormone free triiodothyronine (free T3).⁵ This pattern confirms liver-selective THR-β action (hepatic conversion of T4 to T3 is enhanced, reducing circulating T4 without affecting the hypothalamic-pituitary-thyroid axis). Sex hormone-binding globulin (SHBG) increased 2- to 3-</w:t>
      </w:r>
      <w:proofErr w:type="gramStart"/>
      <w:r>
        <w:t>fold.⁶</w:t>
      </w:r>
      <w:proofErr w:type="gramEnd"/>
      <w:r>
        <w:t xml:space="preserve"> This SHBG elevation has potential implications for patients with borderline or frank hypogonadism, as increased SHBG may decrease biologically active free </w:t>
      </w:r>
      <w:proofErr w:type="gramStart"/>
      <w:r>
        <w:t>testosterone.⁶</w:t>
      </w:r>
      <w:proofErr w:type="gramEnd"/>
      <w:r>
        <w:t xml:space="preserve"> </w:t>
      </w:r>
      <w:proofErr w:type="gramStart"/>
      <w:r>
        <w:t>The</w:t>
      </w:r>
      <w:proofErr w:type="gramEnd"/>
      <w:r>
        <w:t xml:space="preserve"> long-term clinical significance of these hormonal changes remains to be </w:t>
      </w:r>
      <w:proofErr w:type="gramStart"/>
      <w:r>
        <w:t>determined.⁶</w:t>
      </w:r>
      <w:proofErr w:type="gramEnd"/>
    </w:p>
    <w:p w:rsidR="00992596" w:rsidRDefault="00000000" w14:paraId="553F0D54" w14:textId="77777777">
      <w:r>
        <w:t>Other Safety Findings: There were no clinically significant adverse endocrine events, tachyarrhythmias, or major changes in bone mineral density.⁵ The incidence of serious adverse events was similar across trial groups in MAESTRO-NASH: 10.9% (80 mg), 12.7% (100 mg), and 11.5% (placebo).³ There was no incidence of drug-induced liver injury in MAESTRO-NASH.³ Trial discontinuations due to adverse events were more common in the 100-mg group (6.8%) than in the 80-mg group (1.9%) or placebo group (2.2%).³</w:t>
      </w:r>
    </w:p>
    <w:p w:rsidR="00992596" w:rsidRDefault="00000000" w14:paraId="6EEF2C80" w14:textId="77777777">
      <w:r>
        <w:t>Secondary Efficacy Endpoints (Noninvasive Biomarkers)</w:t>
      </w:r>
    </w:p>
    <w:p w:rsidR="00992596" w:rsidRDefault="00000000" w14:paraId="688B144C" w14:textId="77777777">
      <w:r>
        <w:t xml:space="preserve">The MAESTRO-NAFLD-1 trial provided important noninvasive biomarker data that complement the biopsy-based MAESTRO-NASH </w:t>
      </w:r>
      <w:proofErr w:type="gramStart"/>
      <w:r>
        <w:t>results:¹</w:t>
      </w:r>
      <w:proofErr w:type="gramEnd"/>
      <w:r>
        <w:t>³</w:t>
      </w:r>
    </w:p>
    <w:p w:rsidR="00992596" w:rsidRDefault="00000000" w14:paraId="3A9693BB" w14:textId="77777777">
      <w:r>
        <w:t>Hepatic Fat (MRI-</w:t>
      </w:r>
      <w:proofErr w:type="gramStart"/>
      <w:r>
        <w:t>PDFF) —</w:t>
      </w:r>
      <w:proofErr w:type="gramEnd"/>
      <w:r>
        <w:t xml:space="preserve"> Placebo-corrected reductions at 16 weeks:</w:t>
      </w:r>
    </w:p>
    <w:p w:rsidR="00992596" w:rsidRDefault="00000000" w14:paraId="3DAE4AE5" w14:textId="77777777">
      <w:r>
        <w:t>- 80 mg: −34.9%</w:t>
      </w:r>
    </w:p>
    <w:p w:rsidR="00992596" w:rsidRDefault="00000000" w14:paraId="627C047D" w14:textId="77777777">
      <w:r>
        <w:t>- 100 mg: −38.6%</w:t>
      </w:r>
    </w:p>
    <w:p w:rsidR="00992596" w:rsidRDefault="00000000" w14:paraId="4AC50C52" w14:textId="77777777">
      <w:r>
        <w:t>- P0.0001 for both</w:t>
      </w:r>
    </w:p>
    <w:p w:rsidR="00992596" w:rsidRDefault="00000000" w14:paraId="047688A0" w14:textId="77777777">
      <w:r>
        <w:t>Hepatic Fat (MRI-</w:t>
      </w:r>
      <w:proofErr w:type="gramStart"/>
      <w:r>
        <w:t>PDFF) —</w:t>
      </w:r>
      <w:proofErr w:type="gramEnd"/>
      <w:r>
        <w:t xml:space="preserve"> Placebo-corrected reductions at 52 weeks:</w:t>
      </w:r>
    </w:p>
    <w:p w:rsidR="00992596" w:rsidRDefault="00000000" w14:paraId="526405A4" w14:textId="77777777">
      <w:r>
        <w:t>- 80 mg: −28.8%</w:t>
      </w:r>
    </w:p>
    <w:p w:rsidR="00992596" w:rsidRDefault="00000000" w14:paraId="62394229" w14:textId="77777777">
      <w:r>
        <w:t>- 100 mg: −33.9%</w:t>
      </w:r>
    </w:p>
    <w:p w:rsidR="00992596" w:rsidRDefault="00000000" w14:paraId="49AC1A14" w14:textId="77777777">
      <w:r>
        <w:t xml:space="preserve">Lipid Parameters — Placebo-corrected changes </w:t>
      </w:r>
      <w:proofErr w:type="gramStart"/>
      <w:r>
        <w:t>at</w:t>
      </w:r>
      <w:proofErr w:type="gramEnd"/>
      <w:r>
        <w:t xml:space="preserve"> 24 weeks:</w:t>
      </w:r>
    </w:p>
    <w:p w:rsidR="00992596" w:rsidRDefault="00000000" w14:paraId="6A713C6B" w14:textId="77777777">
      <w:r>
        <w:t>- LDL-C: −11.1% (80 mg), −12.6% (100 mg)</w:t>
      </w:r>
    </w:p>
    <w:p w:rsidR="00992596" w:rsidRDefault="00000000" w14:paraId="1527B5D5" w14:textId="77777777">
      <w:r>
        <w:t>- Apolipoprotein B: −15.6% (80 mg), −18.0% (100 mg)</w:t>
      </w:r>
    </w:p>
    <w:p w:rsidR="00992596" w:rsidRDefault="00000000" w14:paraId="2F776181" w14:textId="77777777">
      <w:r>
        <w:lastRenderedPageBreak/>
        <w:t>- Triglycerides: −15.4% (80 mg), −20.4% (100 mg)</w:t>
      </w:r>
    </w:p>
    <w:p w:rsidR="00992596" w:rsidRDefault="00000000" w14:paraId="11E46363" w14:textId="77777777">
      <w:r>
        <w:t>- P0.0001 for all</w:t>
      </w:r>
    </w:p>
    <w:p w:rsidR="00992596" w:rsidRDefault="00000000" w14:paraId="01C5986C" w14:textId="77777777">
      <w:r>
        <w:t>Liver Stiffness (</w:t>
      </w:r>
      <w:proofErr w:type="gramStart"/>
      <w:r>
        <w:t>VCTE) —</w:t>
      </w:r>
      <w:proofErr w:type="gramEnd"/>
      <w:r>
        <w:t xml:space="preserve"> Placebo-corrected reductions at 52 weeks:</w:t>
      </w:r>
    </w:p>
    <w:p w:rsidR="00992596" w:rsidRDefault="00000000" w14:paraId="14751757" w14:textId="77777777">
      <w:r>
        <w:t>- 80 mg: −1.02 kPa</w:t>
      </w:r>
    </w:p>
    <w:p w:rsidR="00992596" w:rsidRDefault="00000000" w14:paraId="6B0D2F9C" w14:textId="77777777">
      <w:r>
        <w:t>- 100 mg: −1.70 kPa</w:t>
      </w:r>
    </w:p>
    <w:p w:rsidR="00992596" w:rsidRDefault="00000000" w14:paraId="73E85DB1" w14:textId="77777777">
      <w:r>
        <w:t xml:space="preserve">These noninvasive biomarker improvements are clinically meaningful because they demonstrate that </w:t>
      </w:r>
      <w:proofErr w:type="spellStart"/>
      <w:r>
        <w:t>resmetirom's</w:t>
      </w:r>
      <w:proofErr w:type="spellEnd"/>
      <w:r>
        <w:t xml:space="preserve"> effects on hepatic fat, liver stiffness, and atherogenic lipids are detectable through tests that are readily available in clinical practice, supporting the feasibility of noninvasive monitoring for treatment response.</w:t>
      </w:r>
    </w:p>
    <w:p w:rsidR="00992596" w:rsidRDefault="00000000" w14:paraId="345F5067" w14:textId="77777777">
      <w:r>
        <w:t>---</w:t>
      </w:r>
    </w:p>
    <w:p w:rsidR="00992596" w:rsidRDefault="00000000" w14:paraId="479C580F" w14:textId="77777777">
      <w:r>
        <w:t>CLINICAL IMPLEMENTATION — AASLD PRACTICE GUIDANCE</w:t>
      </w:r>
    </w:p>
    <w:p w:rsidR="00992596" w:rsidRDefault="00000000" w14:paraId="53EB0CB7" w14:textId="77777777">
      <w:r>
        <w:t xml:space="preserve">Chen VL, Morgan TR, Rotman Y, et al. </w:t>
      </w:r>
      <w:proofErr w:type="spellStart"/>
      <w:r>
        <w:t>Resmetirom</w:t>
      </w:r>
      <w:proofErr w:type="spellEnd"/>
      <w:r>
        <w:t xml:space="preserve"> Therapy for Metabolic Dysfunction-Associated </w:t>
      </w:r>
      <w:proofErr w:type="spellStart"/>
      <w:r>
        <w:t>Steatotic</w:t>
      </w:r>
      <w:proofErr w:type="spellEnd"/>
      <w:r>
        <w:t xml:space="preserve"> Liver Disease: October 2024 Updates to AASLD Practice Guidance. Hepatology. 2025;81(5):1774-1786.</w:t>
      </w:r>
    </w:p>
    <w:p w:rsidR="00992596" w:rsidRDefault="00000000" w14:paraId="7B53BD71" w14:textId="77777777">
      <w:r>
        <w:t>Patient Selection and Screening</w:t>
      </w:r>
    </w:p>
    <w:p w:rsidR="00992596" w:rsidRDefault="00000000" w14:paraId="569786A5" w14:textId="77777777">
      <w:r>
        <w:t xml:space="preserve">The AASLD Practice Guidance recommends a two-tier noninvasive testing (NIT) approach for identifying patients eligible for </w:t>
      </w:r>
      <w:proofErr w:type="spellStart"/>
      <w:r>
        <w:t>resmetirom</w:t>
      </w:r>
      <w:proofErr w:type="spellEnd"/>
      <w:r>
        <w:t xml:space="preserve"> </w:t>
      </w:r>
      <w:proofErr w:type="gramStart"/>
      <w:r>
        <w:t>therapy:²</w:t>
      </w:r>
      <w:proofErr w:type="gramEnd"/>
    </w:p>
    <w:p w:rsidR="00992596" w:rsidRDefault="00000000" w14:paraId="0E1545AE" w14:textId="77777777">
      <w:r>
        <w:t xml:space="preserve">Tier 1 — FIB-4 Index: The Fibrosis-4 index (incorporating age, AST, ALT, and platelet count) is the recommended first-line screening </w:t>
      </w:r>
      <w:proofErr w:type="gramStart"/>
      <w:r>
        <w:t>tool:²</w:t>
      </w:r>
      <w:proofErr w:type="gramEnd"/>
    </w:p>
    <w:p w:rsidR="00992596" w:rsidRDefault="00000000" w14:paraId="611EE09A" w14:textId="77777777">
      <w:r>
        <w:t>- FIB-4 65): Low risk — reassess in 2–3 years (or 1–2 years if type 2 diabetes or ≥2 cardiometabolic risk factors)</w:t>
      </w:r>
    </w:p>
    <w:p w:rsidR="00992596" w:rsidRDefault="00000000" w14:paraId="789B5D37" w14:textId="77777777">
      <w:r>
        <w:t>- FIB-4 1.3–2.67: Indeterminate — proceed to second-tier testing</w:t>
      </w:r>
    </w:p>
    <w:p w:rsidR="00992596" w:rsidRDefault="00000000" w14:paraId="7B540F0C" w14:textId="77777777">
      <w:r>
        <w:t>- FIB-4 &gt;2.67: High risk — proceed to second-tier testing and/or hepatology referral</w:t>
      </w:r>
    </w:p>
    <w:p w:rsidR="00992596" w:rsidRDefault="00000000" w14:paraId="62D23A2A" w14:textId="77777777">
      <w:r>
        <w:t xml:space="preserve">Tier 2 — Imaging-Based or Blood-Based NILDA: Patients with FIB-4 ≥1.3 should </w:t>
      </w:r>
      <w:proofErr w:type="gramStart"/>
      <w:r>
        <w:t>undergo:²</w:t>
      </w:r>
      <w:proofErr w:type="gramEnd"/>
    </w:p>
    <w:p w:rsidR="00992596" w:rsidRDefault="00000000" w14:paraId="360E525F" w14:textId="77777777">
      <w:r>
        <w:t>- Vibration-controlled transient elastography (VCTE): LSM &gt;8.0 kPa warrants further evaluation; LSM 8–12 kPa may be associated with fibrotic NASH; LSM &gt;12 kPa is associated with high likelihood of advanced fibrosis</w:t>
      </w:r>
    </w:p>
    <w:p w:rsidR="00992596" w:rsidRDefault="00000000" w14:paraId="5E7ADCAD" w14:textId="77777777">
      <w:r>
        <w:t>- Enhanced Liver Fibrosis (ELF) test: Score ≥9.8 warrants referral</w:t>
      </w:r>
    </w:p>
    <w:p w:rsidR="00992596" w:rsidRDefault="00000000" w14:paraId="2A70D4B5" w14:textId="77777777">
      <w:r>
        <w:t>- MRE, if available: Values consistent with F2–F3 fibrosis</w:t>
      </w:r>
    </w:p>
    <w:p w:rsidR="00992596" w:rsidRDefault="00000000" w14:paraId="459CE0E5" w14:textId="77777777">
      <w:proofErr w:type="spellStart"/>
      <w:r>
        <w:t>Resmetirom</w:t>
      </w:r>
      <w:proofErr w:type="spellEnd"/>
      <w:r>
        <w:t xml:space="preserve"> can be considered for treatment of adults with MASH and moderate to advanced liver fibrosis (consistent with F2–F3) based </w:t>
      </w:r>
      <w:proofErr w:type="gramStart"/>
      <w:r>
        <w:t>on:⁹</w:t>
      </w:r>
      <w:proofErr w:type="gramEnd"/>
    </w:p>
    <w:p w:rsidR="00992596" w:rsidRDefault="00000000" w14:paraId="2E6C936C" w14:textId="77777777">
      <w:r>
        <w:lastRenderedPageBreak/>
        <w:t>- Noninvasive liver disease assessment — preferably imaging-based test results — consistent with MASH with F2–F3, OR</w:t>
      </w:r>
    </w:p>
    <w:p w:rsidR="00992596" w:rsidRDefault="00000000" w14:paraId="16607519" w14:textId="77777777">
      <w:r>
        <w:t>- Historical liver biopsy demonstrating MASH with F2–F3 (without evidence of concomitant, histologically active autoimmune liver disease)</w:t>
      </w:r>
    </w:p>
    <w:p w:rsidR="00992596" w:rsidRDefault="00000000" w14:paraId="0D78F1EA" w14:textId="77777777">
      <w:r>
        <w:t xml:space="preserve">Liver biopsy is not required for treatment </w:t>
      </w:r>
      <w:proofErr w:type="gramStart"/>
      <w:r>
        <w:t>initiation.⁶</w:t>
      </w:r>
      <w:proofErr w:type="gramEnd"/>
    </w:p>
    <w:p w:rsidR="00992596" w:rsidRDefault="00000000" w14:paraId="73E54977" w14:textId="77777777">
      <w:proofErr w:type="gramStart"/>
      <w:r>
        <w:t>Dosing</w:t>
      </w:r>
      <w:proofErr w:type="gramEnd"/>
      <w:r>
        <w:t xml:space="preserve"> Recommendations</w:t>
      </w:r>
    </w:p>
    <w:p w:rsidR="00992596" w:rsidRDefault="00000000" w14:paraId="3E40418F" w14:textId="77777777">
      <w:r>
        <w:t xml:space="preserve">Weight-based </w:t>
      </w:r>
      <w:proofErr w:type="gramStart"/>
      <w:r>
        <w:t>dosing:⁹</w:t>
      </w:r>
      <w:proofErr w:type="gramEnd"/>
    </w:p>
    <w:p w:rsidR="00992596" w:rsidRDefault="00000000" w14:paraId="421FD102" w14:textId="77777777">
      <w:r>
        <w:t>- Body weight 100 kg: 80 mg orally once daily</w:t>
      </w:r>
    </w:p>
    <w:p w:rsidR="00992596" w:rsidRDefault="00000000" w14:paraId="59A20D32" w14:textId="77777777">
      <w:r>
        <w:t>- Body weight ≥100 kg: 100 mg orally once daily</w:t>
      </w:r>
    </w:p>
    <w:p w:rsidR="00992596" w:rsidRDefault="00000000" w14:paraId="38E11E57" w14:textId="77777777">
      <w:r>
        <w:t>- Tablets should be swallowed whole; do not split, crush, or chew</w:t>
      </w:r>
    </w:p>
    <w:p w:rsidR="00992596" w:rsidRDefault="00000000" w14:paraId="2F55CE04" w14:textId="77777777">
      <w:r>
        <w:t>- May be administered with or without food</w:t>
      </w:r>
    </w:p>
    <w:p w:rsidR="00992596" w:rsidRDefault="00000000" w14:paraId="09CD4433" w14:textId="77777777">
      <w:r>
        <w:t>Dose adjustment with moderate CYP2C8 inhibitors (e.g., clopidogrel</w:t>
      </w:r>
      <w:proofErr w:type="gramStart"/>
      <w:r>
        <w:t>):⁹</w:t>
      </w:r>
      <w:proofErr w:type="gramEnd"/>
    </w:p>
    <w:p w:rsidR="00992596" w:rsidRDefault="00000000" w14:paraId="22BE1CB7" w14:textId="77777777">
      <w:r>
        <w:t>- Body weight 100 kg: 60 mg/day</w:t>
      </w:r>
    </w:p>
    <w:p w:rsidR="00992596" w:rsidRDefault="00000000" w14:paraId="72605731" w14:textId="77777777">
      <w:r>
        <w:t>- Body weight ≥100 kg: 80 mg/day</w:t>
      </w:r>
    </w:p>
    <w:p w:rsidR="00992596" w:rsidRDefault="00000000" w14:paraId="74FDF446" w14:textId="77777777">
      <w:r>
        <w:t>Contraindicated with strong CYP2C8 inhibitors (e.g., gemfibrozil) and OATP1B1/1B3 inhibitors (e.g., cyclosporine</w:t>
      </w:r>
      <w:proofErr w:type="gramStart"/>
      <w:r>
        <w:t>).⁹</w:t>
      </w:r>
      <w:proofErr w:type="gramEnd"/>
    </w:p>
    <w:p w:rsidR="00992596" w:rsidRDefault="00000000" w14:paraId="4D911CD6" w14:textId="77777777">
      <w:r>
        <w:t xml:space="preserve">Statin dose caps when </w:t>
      </w:r>
      <w:proofErr w:type="spellStart"/>
      <w:r>
        <w:t>coadministered</w:t>
      </w:r>
      <w:proofErr w:type="spellEnd"/>
      <w:r>
        <w:t xml:space="preserve"> with </w:t>
      </w:r>
      <w:proofErr w:type="spellStart"/>
      <w:proofErr w:type="gramStart"/>
      <w:r>
        <w:t>resmetirom</w:t>
      </w:r>
      <w:proofErr w:type="spellEnd"/>
      <w:r>
        <w:t>:⁹</w:t>
      </w:r>
      <w:proofErr w:type="gramEnd"/>
    </w:p>
    <w:p w:rsidR="00992596" w:rsidRDefault="00000000" w14:paraId="530C1DE0" w14:textId="77777777">
      <w:r>
        <w:t>- Atorvastatin: maximum 40 mg/day</w:t>
      </w:r>
    </w:p>
    <w:p w:rsidR="00992596" w:rsidRDefault="00000000" w14:paraId="12E2F5F1" w14:textId="77777777">
      <w:r>
        <w:t>- Pravastatin: maximum 40 mg/day</w:t>
      </w:r>
    </w:p>
    <w:p w:rsidR="00992596" w:rsidRDefault="00000000" w14:paraId="2801D0AE" w14:textId="77777777">
      <w:r>
        <w:t>- Rosuvastatin: maximum 20 mg/day</w:t>
      </w:r>
    </w:p>
    <w:p w:rsidR="00992596" w:rsidRDefault="00000000" w14:paraId="68AF6A8A" w14:textId="77777777">
      <w:r>
        <w:t>- Simvastatin: maximum 20 mg/day</w:t>
      </w:r>
    </w:p>
    <w:p w:rsidR="00992596" w:rsidRDefault="00000000" w14:paraId="2C972D57" w14:textId="77777777">
      <w:r>
        <w:t>Monitoring Parameters and Schedule</w:t>
      </w:r>
    </w:p>
    <w:p w:rsidR="00992596" w:rsidRDefault="00000000" w14:paraId="3EB32A16" w14:textId="77777777">
      <w:r>
        <w:t xml:space="preserve">The AASLD Practice Guidance recommends the following </w:t>
      </w:r>
      <w:proofErr w:type="gramStart"/>
      <w:r>
        <w:t>monitoring:⁹</w:t>
      </w:r>
      <w:proofErr w:type="gramEnd"/>
    </w:p>
    <w:p w:rsidR="00992596" w:rsidRDefault="00000000" w14:paraId="7A6272C4" w14:textId="77777777">
      <w:r>
        <w:t>Hepatic Function Panel:</w:t>
      </w:r>
    </w:p>
    <w:p w:rsidR="00992596" w:rsidRDefault="00000000" w14:paraId="2DD9D52C" w14:textId="77777777">
      <w:r>
        <w:t>- Baseline (prior to initiation)</w:t>
      </w:r>
    </w:p>
    <w:p w:rsidR="00992596" w:rsidRDefault="00000000" w14:paraId="18D3B827" w14:textId="77777777">
      <w:r>
        <w:t>- 3 months after initiation</w:t>
      </w:r>
    </w:p>
    <w:p w:rsidR="00992596" w:rsidRDefault="00000000" w14:paraId="0D4C685E" w14:textId="77777777">
      <w:r>
        <w:t>- 6 months after initiation</w:t>
      </w:r>
    </w:p>
    <w:p w:rsidR="00992596" w:rsidRDefault="00000000" w14:paraId="474C9A77" w14:textId="77777777">
      <w:r>
        <w:t>- 12 months after initiation</w:t>
      </w:r>
    </w:p>
    <w:p w:rsidR="00992596" w:rsidRDefault="00000000" w14:paraId="60CEA989" w14:textId="77777777">
      <w:r>
        <w:lastRenderedPageBreak/>
        <w:t xml:space="preserve">- Every 6 months thereafter (data are limited </w:t>
      </w:r>
      <w:proofErr w:type="gramStart"/>
      <w:r>
        <w:t>beyond</w:t>
      </w:r>
      <w:proofErr w:type="gramEnd"/>
      <w:r>
        <w:t xml:space="preserve"> 12 months, but continued monitoring is suggested)</w:t>
      </w:r>
    </w:p>
    <w:p w:rsidR="00992596" w:rsidRDefault="00000000" w14:paraId="734AD298" w14:textId="77777777">
      <w:r>
        <w:t xml:space="preserve">- </w:t>
      </w:r>
      <w:proofErr w:type="spellStart"/>
      <w:r>
        <w:t>Resmetirom</w:t>
      </w:r>
      <w:proofErr w:type="spellEnd"/>
      <w:r>
        <w:t xml:space="preserve"> should be discontinued if hepatotoxicity develops, as defined by the AASLD drug-induced liver injury practice </w:t>
      </w:r>
      <w:proofErr w:type="gramStart"/>
      <w:r>
        <w:t>guidance.⁹</w:t>
      </w:r>
      <w:proofErr w:type="gramEnd"/>
    </w:p>
    <w:p w:rsidR="00992596" w:rsidRDefault="00000000" w14:paraId="187E0BA8" w14:textId="77777777">
      <w:r>
        <w:t>Thyroid Function:</w:t>
      </w:r>
    </w:p>
    <w:p w:rsidR="00992596" w:rsidRDefault="00000000" w14:paraId="3691D804" w14:textId="77777777">
      <w:r>
        <w:t xml:space="preserve">- Baseline thyroid function testing (TSH, free T4) is recommended prior to initiating therapy, as hypothyroidism is common (~12% of the general population) and steatosis may be associated with </w:t>
      </w:r>
      <w:proofErr w:type="gramStart"/>
      <w:r>
        <w:t>hypothyroidism.⁶</w:t>
      </w:r>
      <w:proofErr w:type="gramEnd"/>
    </w:p>
    <w:p w:rsidR="00992596" w:rsidRDefault="00000000" w14:paraId="1418DCD6" w14:textId="77777777">
      <w:r>
        <w:t xml:space="preserve">- Monitoring during therapy should be based on clinical </w:t>
      </w:r>
      <w:proofErr w:type="gramStart"/>
      <w:r>
        <w:t>judgment.⁹</w:t>
      </w:r>
      <w:proofErr w:type="gramEnd"/>
    </w:p>
    <w:p w:rsidR="00992596" w:rsidRDefault="00000000" w14:paraId="18DCA6E1" w14:textId="77777777">
      <w:r>
        <w:t xml:space="preserve">- Among persons with known thyroid disease, standard laboratory monitoring per established guidelines is </w:t>
      </w:r>
      <w:proofErr w:type="gramStart"/>
      <w:r>
        <w:t>recommended.⁹</w:t>
      </w:r>
      <w:proofErr w:type="gramEnd"/>
    </w:p>
    <w:p w:rsidR="00992596" w:rsidRDefault="00000000" w14:paraId="63FAD4DC" w14:textId="77777777">
      <w:r>
        <w:t>Efficacy Monitoring:</w:t>
      </w:r>
    </w:p>
    <w:p w:rsidR="00992596" w:rsidRDefault="00000000" w14:paraId="28C4F4EF" w14:textId="77777777">
      <w:r>
        <w:t xml:space="preserve">- A ≥20% reduction in MRE-measured liver stiffness may represent a clinically meaningful </w:t>
      </w:r>
      <w:proofErr w:type="gramStart"/>
      <w:r>
        <w:t>improvement.⁹</w:t>
      </w:r>
      <w:proofErr w:type="gramEnd"/>
    </w:p>
    <w:p w:rsidR="00992596" w:rsidRDefault="00000000" w14:paraId="26F535B7" w14:textId="77777777">
      <w:r>
        <w:t xml:space="preserve">- A ≥20% reduction in VCTE LSM or a decrease to 10 kPa has been proposed as a clinically meaningful </w:t>
      </w:r>
      <w:proofErr w:type="gramStart"/>
      <w:r>
        <w:t>decrease.⁹</w:t>
      </w:r>
      <w:proofErr w:type="gramEnd"/>
    </w:p>
    <w:p w:rsidR="00992596" w:rsidRDefault="00000000" w14:paraId="281A6C7F" w14:textId="77777777">
      <w:r>
        <w:t>- ALT normalization or significant reduction may serve as an additional marker of treatment response.</w:t>
      </w:r>
    </w:p>
    <w:p w:rsidR="00992596" w:rsidRDefault="00000000" w14:paraId="18C114C3" w14:textId="77777777">
      <w:r>
        <w:t>Contraindications and Special Populations</w:t>
      </w:r>
    </w:p>
    <w:p w:rsidR="00992596" w:rsidRDefault="00000000" w14:paraId="42464166" w14:textId="77777777">
      <w:proofErr w:type="gramStart"/>
      <w:r>
        <w:t>Contraindications:⁹</w:t>
      </w:r>
      <w:proofErr w:type="gramEnd"/>
    </w:p>
    <w:p w:rsidR="00992596" w:rsidRDefault="00000000" w14:paraId="1C47C79D" w14:textId="77777777">
      <w:r>
        <w:t>- Compensated or decompensated cirrhosis (F4)</w:t>
      </w:r>
    </w:p>
    <w:p w:rsidR="00992596" w:rsidRDefault="00000000" w14:paraId="08C1988C" w14:textId="77777777">
      <w:r>
        <w:t>- Active autoimmune liver disease (autoimmune hepatitis, primary biliary cholangitis)</w:t>
      </w:r>
    </w:p>
    <w:p w:rsidR="00992596" w:rsidRDefault="00000000" w14:paraId="0605E36B" w14:textId="77777777">
      <w:r>
        <w:t xml:space="preserve">- </w:t>
      </w:r>
      <w:proofErr w:type="spellStart"/>
      <w:r>
        <w:t>Suboptimally</w:t>
      </w:r>
      <w:proofErr w:type="spellEnd"/>
      <w:r>
        <w:t xml:space="preserve"> managed hypothyroidism or hyperthyroidism</w:t>
      </w:r>
    </w:p>
    <w:p w:rsidR="00992596" w:rsidRDefault="00000000" w14:paraId="2AF227F6" w14:textId="77777777">
      <w:r>
        <w:t>- Decompensated cirrhosis or moderate to severe hepatic impairment (Child-Pugh class B or C)</w:t>
      </w:r>
    </w:p>
    <w:p w:rsidR="00992596" w:rsidRDefault="00000000" w14:paraId="26F3C2AA" w14:textId="77777777">
      <w:r>
        <w:t>Special Populations:</w:t>
      </w:r>
    </w:p>
    <w:p w:rsidR="00992596" w:rsidRDefault="00000000" w14:paraId="707FB35F" w14:textId="77777777">
      <w:r>
        <w:t xml:space="preserve">- No data are available for use in children or in pregnant or lactating </w:t>
      </w:r>
      <w:proofErr w:type="gramStart"/>
      <w:r>
        <w:t>patients.¹</w:t>
      </w:r>
      <w:proofErr w:type="gramEnd"/>
      <w:r>
        <w:t>⁴</w:t>
      </w:r>
    </w:p>
    <w:p w:rsidR="00992596" w:rsidRDefault="00000000" w14:paraId="6E112584" w14:textId="77777777">
      <w:r>
        <w:t>- Limited racial/ethnic diversity in clinical trials (~75% White in MAESTRO-NASH</w:t>
      </w:r>
      <w:proofErr w:type="gramStart"/>
      <w:r>
        <w:t>).³</w:t>
      </w:r>
      <w:proofErr w:type="gramEnd"/>
    </w:p>
    <w:p w:rsidR="00992596" w:rsidRDefault="00000000" w14:paraId="22D92946" w14:textId="77777777">
      <w:r>
        <w:t xml:space="preserve">- SHBG elevation (2–3 fold) may exacerbate hypogonadism in susceptible patients; clinicians should follow current guidelines for evaluation of symptomatic </w:t>
      </w:r>
      <w:proofErr w:type="gramStart"/>
      <w:r>
        <w:t>individuals.⁶</w:t>
      </w:r>
      <w:proofErr w:type="gramEnd"/>
    </w:p>
    <w:p w:rsidR="00992596" w:rsidRDefault="00000000" w14:paraId="001120B3" w14:textId="77777777">
      <w:r>
        <w:lastRenderedPageBreak/>
        <w:t xml:space="preserve">- Limited data on combining </w:t>
      </w:r>
      <w:proofErr w:type="spellStart"/>
      <w:r>
        <w:t>resmetirom</w:t>
      </w:r>
      <w:proofErr w:type="spellEnd"/>
      <w:r>
        <w:t xml:space="preserve"> with GLP-1 receptor agonists, SGLT2 inhibitors, or pioglitazone, though secondary analyses suggest additive benefit with weight loss and no negative interaction with background GLP-1 RA or SGLT2i </w:t>
      </w:r>
      <w:proofErr w:type="gramStart"/>
      <w:r>
        <w:t>therapy.¹</w:t>
      </w:r>
      <w:proofErr w:type="gramEnd"/>
      <w:r>
        <w:t>²</w:t>
      </w:r>
    </w:p>
    <w:p w:rsidR="00992596" w:rsidRDefault="00000000" w14:paraId="2C202455" w14:textId="77777777">
      <w:r>
        <w:t>---</w:t>
      </w:r>
    </w:p>
    <w:p w:rsidR="00992596" w:rsidRDefault="00000000" w14:paraId="681E9849" w14:textId="77777777">
      <w:r>
        <w:t>PLACE IN THERAPY AND FORMULARY RECOMMENDATION</w:t>
      </w:r>
    </w:p>
    <w:p w:rsidR="00992596" w:rsidRDefault="00000000" w14:paraId="78C513F7" w14:textId="77777777">
      <w:r>
        <w:t>Comparative Positioning</w:t>
      </w:r>
    </w:p>
    <w:p w:rsidR="00992596" w:rsidRDefault="00000000" w14:paraId="3B9BD6B4" w14:textId="77777777">
      <w:proofErr w:type="spellStart"/>
      <w:r>
        <w:t>Resmetirom</w:t>
      </w:r>
      <w:proofErr w:type="spellEnd"/>
      <w:r>
        <w:t xml:space="preserve"> occupies a unique position in the MASH treatment landscape as the first FDA-approved therapy with phase 3 evidence for both NASH resolution and fibrosis improvement. The following comparison contextualizes its role:</w:t>
      </w:r>
    </w:p>
    <w:p w:rsidR="00992596" w:rsidRDefault="00000000" w14:paraId="6488877D" w14:textId="77777777">
      <w:r>
        <w:t xml:space="preserve">Lifestyle Modification: Remains the foundation of MASLD/MASH management. A minimum weight loss of 5%, preferably ≥10%, is needed to improve liver histology, with fibrosis requiring the larger weight </w:t>
      </w:r>
      <w:proofErr w:type="gramStart"/>
      <w:r>
        <w:t>reduction.⁷</w:t>
      </w:r>
      <w:proofErr w:type="gramEnd"/>
      <w:r>
        <w:t xml:space="preserve"> </w:t>
      </w:r>
      <w:proofErr w:type="spellStart"/>
      <w:r>
        <w:t>Resmetirom</w:t>
      </w:r>
      <w:proofErr w:type="spellEnd"/>
      <w:r>
        <w:t xml:space="preserve"> should be used in conjunction with, not as a replacement for, diet and exercise.</w:t>
      </w:r>
    </w:p>
    <w:p w:rsidR="00992596" w:rsidRDefault="00000000" w14:paraId="64C2A6EA" w14:textId="77777777">
      <w:r>
        <w:t xml:space="preserve">Pioglitazone: Improves NASH resolution in phase 2 trials and meta-analyses, with some evidence for fibrosis improvement.⁷ However, it causes dose-dependent weight gain (3–5% at 45 mg/day), increases fracture risk, and is not recommended in patients with heart failure (stage B, C, or D).⁷ It is inexpensive (~$18/month) and may be considered in patients with type 2 diabetes who cannot access </w:t>
      </w:r>
      <w:proofErr w:type="spellStart"/>
      <w:r>
        <w:t>resmetirom</w:t>
      </w:r>
      <w:proofErr w:type="spellEnd"/>
      <w:r>
        <w:t>.</w:t>
      </w:r>
    </w:p>
    <w:p w:rsidR="00992596" w:rsidRDefault="00000000" w14:paraId="1A8A5D6A" w14:textId="77777777">
      <w:r>
        <w:t xml:space="preserve">Vitamin E: May be beneficial for MASH in individuals without </w:t>
      </w:r>
      <w:proofErr w:type="gramStart"/>
      <w:r>
        <w:t>diabetes, but</w:t>
      </w:r>
      <w:proofErr w:type="gramEnd"/>
      <w:r>
        <w:t xml:space="preserve"> was found ineffective in a small RCT of patients with type 2 diabetes and did not enhance pioglitazone's efficacy in </w:t>
      </w:r>
      <w:proofErr w:type="gramStart"/>
      <w:r>
        <w:t>combination.⁷</w:t>
      </w:r>
      <w:proofErr w:type="gramEnd"/>
      <w:r>
        <w:t xml:space="preserve"> No fibrosis benefit has been demonstrated. Limited to non-diabetic patients.</w:t>
      </w:r>
    </w:p>
    <w:p w:rsidR="00992596" w:rsidRDefault="00000000" w14:paraId="492E6F65" w14:textId="77777777">
      <w:r>
        <w:t xml:space="preserve">GLP-1 Receptor Agonists: Semaglutide received FDA approval for MASH with F2–F3 fibrosis based on the ESSENCE trial (phase 3), which demonstrated MASH resolution in 62.9% vs. 34.3% with placebo and fibrosis improvement in 36.8% vs. 22.4%.⁷ Semaglutide offers additional benefits for weight loss, glycemic control, and cardiovascular risk reduction, making it particularly attractive for patients with obesity and/or type 2 diabetes. However, it requires subcutaneous </w:t>
      </w:r>
      <w:proofErr w:type="gramStart"/>
      <w:r>
        <w:t>injection</w:t>
      </w:r>
      <w:proofErr w:type="gramEnd"/>
      <w:r>
        <w:t xml:space="preserve"> and has a different adverse effect profile (GI events, pancreatitis risk). Selection between </w:t>
      </w:r>
      <w:proofErr w:type="spellStart"/>
      <w:r>
        <w:t>resmetirom</w:t>
      </w:r>
      <w:proofErr w:type="spellEnd"/>
      <w:r>
        <w:t xml:space="preserve"> and semaglutide should be individualized based on the patient's cardiometabolic profile through shared decision-</w:t>
      </w:r>
      <w:proofErr w:type="gramStart"/>
      <w:r>
        <w:t>making.¹</w:t>
      </w:r>
      <w:proofErr w:type="gramEnd"/>
      <w:r>
        <w:t>⁵</w:t>
      </w:r>
    </w:p>
    <w:p w:rsidR="19457440" w:rsidRDefault="19457440" w14:paraId="25B599D2" w14:textId="3C63A4E7">
      <w:r w:rsidR="19457440">
        <w:rPr/>
        <w:t xml:space="preserve">Tirzepatide: A dual GIP/GLP-1 receptor agonist with promising phase 2 data showing MASH resolution rates of 44–62% and fibrosis improvement of 51–55%, but not yet FDA-approved for </w:t>
      </w:r>
      <w:r w:rsidR="19457440">
        <w:rPr/>
        <w:t>MASH.⁷</w:t>
      </w:r>
    </w:p>
    <w:p w:rsidR="35AE2BDE" w:rsidRDefault="35AE2BDE" w14:paraId="3B1574C1" w14:textId="5E928082">
      <w:r w:rsidRPr="0AE4B27F" w:rsidR="35AE2BDE">
        <w:rPr>
          <w:rFonts w:ascii="Times New Roman" w:hAnsi="Times New Roman" w:eastAsia="Times New Roman" w:cs="Times New Roman"/>
          <w:noProof w:val="0"/>
          <w:sz w:val="24"/>
          <w:szCs w:val="24"/>
          <w:lang w:val="en-US"/>
        </w:rPr>
        <w:t>Key Differentiator: Resmetirom is the only FDA-approved oral, liver-directed THR-β agonist for MASH with F2–F3 fibrosis. Its unique mechanism of action provides a complementary pathway to incretin-based therapies, with distinct advantages including oral administration, weight neutrality (differentiating it from pioglitazone's weight gain), and a favorable lipid-lowering profile that includes reductions in LDL cholesterol, triglycerides, apolipoprotein B, and lipoprotein(a).³ These atherogenic lipid improvements are mechanistically consistent with THR-β activation and may confer cardiovascular benefit, though this has not been demonstrated in outcomes trials for resmetirom specifically.³ Resmetirom does not improve glycemic control or promote weight loss, which distinguishes it from GLP-1 receptor agonists and may influence agent selection in patients with concurrent obesity and/or type 2 diabetes.</w:t>
      </w:r>
    </w:p>
    <w:p w:rsidR="0AE4B27F" w:rsidRDefault="0AE4B27F" w14:paraId="07DFE5D0" w14:textId="01F9561F"/>
    <w:p w:rsidR="35AE2BDE" w:rsidRDefault="35AE2BDE" w14:paraId="15C59654" w14:textId="31B2BC7D">
      <w:r w:rsidRPr="0AE4B27F" w:rsidR="35AE2BDE">
        <w:rPr>
          <w:rFonts w:ascii="Times New Roman" w:hAnsi="Times New Roman" w:eastAsia="Times New Roman" w:cs="Times New Roman"/>
          <w:noProof w:val="0"/>
          <w:sz w:val="24"/>
          <w:szCs w:val="24"/>
          <w:lang w:val="en-US"/>
        </w:rPr>
        <w:t>The evolving MASH treatment landscape now includes two FDA-approved pharmacotherapies — resmetirom and semaglutide — with distinct mechanisms, routes of administration, and ancillary metabolic benefits.¹ Selection between these agents should be individualized based on the patient's cardiometabolic profile, comorbidities, preferences regarding oral versus injectable therapy, insurance coverage, and cost through shared decision-making.¹⁵ Combination therapy with resmetirom and a GLP-1 receptor agonist is an area of active interest, supported by secondary analyses from MAESTRO-NASH showing no diminished efficacy with background GLP-1 RA therapy and enhanced MASH resolution with concurrent weight loss ≥5%.¹²</w:t>
      </w:r>
    </w:p>
    <w:p w:rsidR="0AE4B27F" w:rsidRDefault="0AE4B27F" w14:paraId="2EC97DE9" w14:textId="1B8513BB"/>
    <w:p w:rsidR="35AE2BDE" w:rsidRDefault="35AE2BDE" w14:paraId="4C7EB9BC" w14:textId="3CFF4B40">
      <w:r w:rsidRPr="0AE4B27F" w:rsidR="35AE2BDE">
        <w:rPr>
          <w:rFonts w:ascii="Times New Roman" w:hAnsi="Times New Roman" w:eastAsia="Times New Roman" w:cs="Times New Roman"/>
          <w:noProof w:val="0"/>
          <w:sz w:val="24"/>
          <w:szCs w:val="24"/>
          <w:lang w:val="en-US"/>
        </w:rPr>
        <w:t>Cost and Access Considerations</w:t>
      </w:r>
    </w:p>
    <w:p w:rsidR="0AE4B27F" w:rsidRDefault="0AE4B27F" w14:paraId="73AB5FEC" w14:textId="08672764"/>
    <w:p w:rsidR="35AE2BDE" w:rsidRDefault="35AE2BDE" w14:paraId="317B55F6" w14:textId="39686661">
      <w:r w:rsidRPr="0AE4B27F" w:rsidR="35AE2BDE">
        <w:rPr>
          <w:rFonts w:ascii="Times New Roman" w:hAnsi="Times New Roman" w:eastAsia="Times New Roman" w:cs="Times New Roman"/>
          <w:noProof w:val="0"/>
          <w:sz w:val="24"/>
          <w:szCs w:val="24"/>
          <w:lang w:val="en-US"/>
        </w:rPr>
        <w:t>Resmetirom carries a significant cost burden. The average annual wholesale price is approximately $47,000 to $58,000 per year (~$4,000/month), creating a substantial barrier to patient access.⁸ For context, off-label alternatives are considerably less expensive: pioglitazone costs approximately $18/month, vitamin E approximately $10–15/month, and semaglutide (Ozempic) approximately $960/month.¹⁰</w:t>
      </w:r>
    </w:p>
    <w:p w:rsidR="0AE4B27F" w:rsidRDefault="0AE4B27F" w14:paraId="747EC6AF" w14:textId="3301E1F0"/>
    <w:p w:rsidR="35AE2BDE" w:rsidRDefault="35AE2BDE" w14:paraId="5F77072C" w14:textId="065906C0">
      <w:r w:rsidRPr="0AE4B27F" w:rsidR="35AE2BDE">
        <w:rPr>
          <w:rFonts w:ascii="Times New Roman" w:hAnsi="Times New Roman" w:eastAsia="Times New Roman" w:cs="Times New Roman"/>
          <w:noProof w:val="0"/>
          <w:sz w:val="24"/>
          <w:szCs w:val="24"/>
          <w:lang w:val="en-US"/>
        </w:rPr>
        <w:t>A 2025 economic evaluation published in JAMA Network Open estimated that at a price of $19,011/year, resmetirom was not cost-effective compared with standard of care at a $100,000/QALY willingness-to-pay threshold, with an incremental cost-effectiveness ratio (ICER) of $140,134/QALY at the current wholesale price.¹¹ The analysis found that resmetirom was associated with a gain of 0.26 QALYs per patient and saved $18,499 in MASLD-related medical costs, but lifetime drug costs of $54,754 resulted in a total incremental cost of $36,255 per patient.¹¹ The conclusion was sensitive to the discontinuation rate and other model assumptions, and the authors noted that better data on long-term effectiveness and patient adherence are needed to accurately determine economic value.¹¹ An earlier industry-sponsored model estimated a more favorable ICER of $53,929/QALY, highlighting the sensitivity of cost-effectiveness estimates to modeling assumptions.¹²</w:t>
      </w:r>
    </w:p>
    <w:p w:rsidR="0AE4B27F" w:rsidRDefault="0AE4B27F" w14:paraId="5991F2E6" w14:textId="505AA5AB"/>
    <w:p w:rsidR="35AE2BDE" w:rsidRDefault="35AE2BDE" w14:paraId="5D9BC50E" w14:textId="73B9D7DC">
      <w:r w:rsidRPr="0AE4B27F" w:rsidR="35AE2BDE">
        <w:rPr>
          <w:rFonts w:ascii="Times New Roman" w:hAnsi="Times New Roman" w:eastAsia="Times New Roman" w:cs="Times New Roman"/>
          <w:noProof w:val="0"/>
          <w:sz w:val="24"/>
          <w:szCs w:val="24"/>
          <w:lang w:val="en-US"/>
        </w:rPr>
        <w:t>Insurance coverage for resmetirom is variable and frequently requires prior authorization. Many payers require documentation of fibrosis staging through noninvasive testing or historical biopsy, hepatology or gastroenterology consultation, and evidence of lifestyle modification attempts before approving coverage. Step therapy requirements may mandate trial of less expensive alternatives (e.g., pioglitazone) before resmetirom is authorized. Madrigal Pharmaceuticals offers a patient support program (Madrigal Connect) that includes copay assistance for commercially insured patients and support for uninsured or underinsured patients, though specific program details and eligibility criteria should be verified at the time of prescribing.</w:t>
      </w:r>
    </w:p>
    <w:p w:rsidR="0AE4B27F" w:rsidRDefault="0AE4B27F" w14:paraId="76CAF875" w14:textId="364E789A"/>
    <w:p w:rsidR="35AE2BDE" w:rsidRDefault="35AE2BDE" w14:paraId="2F68ECE9" w14:textId="4E0DC9C4">
      <w:r w:rsidRPr="0AE4B27F" w:rsidR="35AE2BDE">
        <w:rPr>
          <w:rFonts w:ascii="Times New Roman" w:hAnsi="Times New Roman" w:eastAsia="Times New Roman" w:cs="Times New Roman"/>
          <w:noProof w:val="0"/>
          <w:sz w:val="24"/>
          <w:szCs w:val="24"/>
          <w:lang w:val="en-US"/>
        </w:rPr>
        <w:t>Resmetirom is distributed through specialty pharmacies, which adds an additional layer of complexity to the dispensing process. The Institute for Clinical and Economic Review (ICER) has advised that only hepatologists or gastroenterologists should prescribe resmetirom until more long-term studies are completed, which may further limit access in primary care settings.¹²</w:t>
      </w:r>
    </w:p>
    <w:p w:rsidR="0AE4B27F" w:rsidRDefault="0AE4B27F" w14:paraId="5DDE44A6" w14:textId="0B4CE3F9"/>
    <w:p w:rsidR="35AE2BDE" w:rsidRDefault="35AE2BDE" w14:paraId="5B86C728" w14:textId="7B8495A3">
      <w:r w:rsidRPr="0AE4B27F" w:rsidR="35AE2BDE">
        <w:rPr>
          <w:rFonts w:ascii="Times New Roman" w:hAnsi="Times New Roman" w:eastAsia="Times New Roman" w:cs="Times New Roman"/>
          <w:noProof w:val="0"/>
          <w:sz w:val="24"/>
          <w:szCs w:val="24"/>
          <w:lang w:val="en-US"/>
        </w:rPr>
        <w:t>The ambulatory care pharmacist plays a critical role in navigating these access barriers through conducting benefit investigations, initiating and managing prior authorization submissions, filing appeals for denied claims, connecting patients with manufacturer assistance programs, and identifying alternative funding sources. These activities directly impact whether eligible patients can initiate and maintain therapy.</w:t>
      </w:r>
    </w:p>
    <w:p w:rsidR="0AE4B27F" w:rsidRDefault="0AE4B27F" w14:paraId="2BA1977C" w14:textId="67E9AAD0"/>
    <w:p w:rsidR="35AE2BDE" w:rsidRDefault="35AE2BDE" w14:paraId="6461A2C2" w14:textId="4C48E0E3">
      <w:r w:rsidRPr="0AE4B27F" w:rsidR="35AE2BDE">
        <w:rPr>
          <w:rFonts w:ascii="Times New Roman" w:hAnsi="Times New Roman" w:eastAsia="Times New Roman" w:cs="Times New Roman"/>
          <w:noProof w:val="0"/>
          <w:sz w:val="24"/>
          <w:szCs w:val="24"/>
          <w:lang w:val="en-US"/>
        </w:rPr>
        <w:t>Formulary Recommendation</w:t>
      </w:r>
    </w:p>
    <w:p w:rsidR="0AE4B27F" w:rsidRDefault="0AE4B27F" w14:paraId="26E9AE32" w14:textId="7F2B372A"/>
    <w:p w:rsidR="35AE2BDE" w:rsidRDefault="35AE2BDE" w14:paraId="218B41CB" w14:textId="5016AE00">
      <w:r w:rsidRPr="0AE4B27F" w:rsidR="35AE2BDE">
        <w:rPr>
          <w:rFonts w:ascii="Times New Roman" w:hAnsi="Times New Roman" w:eastAsia="Times New Roman" w:cs="Times New Roman"/>
          <w:noProof w:val="0"/>
          <w:sz w:val="24"/>
          <w:szCs w:val="24"/>
          <w:lang w:val="en-US"/>
        </w:rPr>
        <w:t>Based on the totality of evidence, the recommendation is to add resmetirom to formulary with restrictions. The following criteria for use are proposed:</w:t>
      </w:r>
    </w:p>
    <w:p w:rsidR="0AE4B27F" w:rsidRDefault="0AE4B27F" w14:paraId="51B5E213" w14:textId="63A23E67"/>
    <w:p w:rsidR="35AE2BDE" w:rsidRDefault="35AE2BDE" w14:paraId="42C85220" w14:textId="32E1CB4F">
      <w:r w:rsidRPr="0AE4B27F" w:rsidR="35AE2BDE">
        <w:rPr>
          <w:rFonts w:ascii="Times New Roman" w:hAnsi="Times New Roman" w:eastAsia="Times New Roman" w:cs="Times New Roman"/>
          <w:noProof w:val="0"/>
          <w:sz w:val="24"/>
          <w:szCs w:val="24"/>
          <w:lang w:val="en-US"/>
        </w:rPr>
        <w:t>Efficacy Justification: MAESTRO-NASH demonstrated statistically significant improvements in both co-primary endpoints — NASH resolution (25.9–29.9% vs. 9.7% placebo, NNT 5–6) and fibrosis improvement by ≥1 stage (24.2–25.9% vs. 14.2% placebo, NNT 9–10) — at 52 weeks.³ These histologic surrogates are considered by the FDA to be "reasonably likely to predict clinical benefit."¹¹</w:t>
      </w:r>
    </w:p>
    <w:p w:rsidR="0AE4B27F" w:rsidRDefault="0AE4B27F" w14:paraId="5200D49A" w14:textId="3757A40F"/>
    <w:p w:rsidR="35AE2BDE" w:rsidRDefault="35AE2BDE" w14:paraId="0ADC0C6D" w14:textId="2927B5EF">
      <w:r w:rsidRPr="0AE4B27F" w:rsidR="35AE2BDE">
        <w:rPr>
          <w:rFonts w:ascii="Times New Roman" w:hAnsi="Times New Roman" w:eastAsia="Times New Roman" w:cs="Times New Roman"/>
          <w:noProof w:val="0"/>
          <w:sz w:val="24"/>
          <w:szCs w:val="24"/>
          <w:lang w:val="en-US"/>
        </w:rPr>
        <w:t>Safety Justification: MAESTRO-NAFLD-1 demonstrated an acceptable safety profile over 52 weeks, with GI adverse events (diarrhea, nausea) as the most common treatment-emergent events, generally mild to moderate and self-limiting.¹³ The sole case of severe hepatotoxicity occurred in a patient with unrecognized autoimmune liver disease, supporting the contraindication in this population.⁹</w:t>
      </w:r>
    </w:p>
    <w:p w:rsidR="0AE4B27F" w:rsidRDefault="0AE4B27F" w14:paraId="5DB9AF08" w14:textId="0B860EDA"/>
    <w:p w:rsidR="35AE2BDE" w:rsidRDefault="35AE2BDE" w14:paraId="545631D2" w14:textId="31F42ED9">
      <w:r w:rsidRPr="0AE4B27F" w:rsidR="35AE2BDE">
        <w:rPr>
          <w:rFonts w:ascii="Times New Roman" w:hAnsi="Times New Roman" w:eastAsia="Times New Roman" w:cs="Times New Roman"/>
          <w:noProof w:val="0"/>
          <w:sz w:val="24"/>
          <w:szCs w:val="24"/>
          <w:lang w:val="en-US"/>
        </w:rPr>
        <w:t>Unmet Need: Resmetirom was the first FDA-approved pharmacotherapy for MASH, addressing a critical gap in the treatment of a disease affecting millions of Americans with no prior approved options.³</w:t>
      </w:r>
    </w:p>
    <w:p w:rsidR="0AE4B27F" w:rsidRDefault="0AE4B27F" w14:paraId="4F70F1BB" w14:textId="3114F71B"/>
    <w:p w:rsidR="35AE2BDE" w:rsidRDefault="35AE2BDE" w14:paraId="16536B85" w14:textId="0D2A8291">
      <w:r w:rsidRPr="0AE4B27F" w:rsidR="35AE2BDE">
        <w:rPr>
          <w:rFonts w:ascii="Times New Roman" w:hAnsi="Times New Roman" w:eastAsia="Times New Roman" w:cs="Times New Roman"/>
          <w:noProof w:val="0"/>
          <w:sz w:val="24"/>
          <w:szCs w:val="24"/>
          <w:lang w:val="en-US"/>
        </w:rPr>
        <w:t>Proposed Formulary Restrictions:</w:t>
      </w:r>
    </w:p>
    <w:p w:rsidR="0AE4B27F" w:rsidRDefault="0AE4B27F" w14:paraId="3C750703" w14:textId="3BAECDD1"/>
    <w:p w:rsidR="35AE2BDE" w:rsidRDefault="35AE2BDE" w14:paraId="3F06553A" w14:textId="687C0E08">
      <w:r w:rsidRPr="0AE4B27F" w:rsidR="35AE2BDE">
        <w:rPr>
          <w:rFonts w:ascii="Times New Roman" w:hAnsi="Times New Roman" w:eastAsia="Times New Roman" w:cs="Times New Roman"/>
          <w:noProof w:val="0"/>
          <w:sz w:val="24"/>
          <w:szCs w:val="24"/>
          <w:lang w:val="en-US"/>
        </w:rPr>
        <w:t>1. Indication limited to adults with noncirrhotic MASH and moderate to advanced fibrosis (F2–F3), consistent with the FDA-approved indication.⁹</w:t>
      </w:r>
    </w:p>
    <w:p w:rsidR="0AE4B27F" w:rsidRDefault="0AE4B27F" w14:paraId="6705D053" w14:textId="72F237D6"/>
    <w:p w:rsidR="35AE2BDE" w:rsidRDefault="35AE2BDE" w14:paraId="7F91D92C" w14:textId="2E5DF856">
      <w:r w:rsidRPr="0AE4B27F" w:rsidR="35AE2BDE">
        <w:rPr>
          <w:rFonts w:ascii="Times New Roman" w:hAnsi="Times New Roman" w:eastAsia="Times New Roman" w:cs="Times New Roman"/>
          <w:noProof w:val="0"/>
          <w:sz w:val="24"/>
          <w:szCs w:val="24"/>
          <w:lang w:val="en-US"/>
        </w:rPr>
        <w:t>2. Fibrosis staging must be documented through noninvasive liver disease assessment (VCTE, MRE, or ELF) or historical liver biopsy demonstrating F2–F3 fibrosis.⁹</w:t>
      </w:r>
    </w:p>
    <w:p w:rsidR="0AE4B27F" w:rsidRDefault="0AE4B27F" w14:paraId="64C92384" w14:textId="2A330DE8"/>
    <w:p w:rsidR="35AE2BDE" w:rsidRDefault="35AE2BDE" w14:paraId="7C61C189" w14:textId="473C0D85">
      <w:r w:rsidRPr="0AE4B27F" w:rsidR="35AE2BDE">
        <w:rPr>
          <w:rFonts w:ascii="Times New Roman" w:hAnsi="Times New Roman" w:eastAsia="Times New Roman" w:cs="Times New Roman"/>
          <w:noProof w:val="0"/>
          <w:sz w:val="24"/>
          <w:szCs w:val="24"/>
          <w:lang w:val="en-US"/>
        </w:rPr>
        <w:t>3. Prescribing limited to hepatology, gastroenterology, or endocrinology, or with documented specialist consultation.</w:t>
      </w:r>
    </w:p>
    <w:p w:rsidR="0AE4B27F" w:rsidRDefault="0AE4B27F" w14:paraId="53144949" w14:textId="5D02DCA1"/>
    <w:p w:rsidR="35AE2BDE" w:rsidRDefault="35AE2BDE" w14:paraId="70467300" w14:textId="055AE700">
      <w:r w:rsidRPr="0AE4B27F" w:rsidR="35AE2BDE">
        <w:rPr>
          <w:rFonts w:ascii="Times New Roman" w:hAnsi="Times New Roman" w:eastAsia="Times New Roman" w:cs="Times New Roman"/>
          <w:noProof w:val="0"/>
          <w:sz w:val="24"/>
          <w:szCs w:val="24"/>
          <w:lang w:val="en-US"/>
        </w:rPr>
        <w:t>4. Documentation of lifestyle modification counseling (diet and exercise) prior to or concurrent with initiation.</w:t>
      </w:r>
    </w:p>
    <w:p w:rsidR="0AE4B27F" w:rsidRDefault="0AE4B27F" w14:paraId="51F2C781" w14:textId="18D00938"/>
    <w:p w:rsidR="35AE2BDE" w:rsidRDefault="35AE2BDE" w14:paraId="298E0379" w14:textId="31ECE9EE">
      <w:r w:rsidRPr="0AE4B27F" w:rsidR="35AE2BDE">
        <w:rPr>
          <w:rFonts w:ascii="Times New Roman" w:hAnsi="Times New Roman" w:eastAsia="Times New Roman" w:cs="Times New Roman"/>
          <w:noProof w:val="0"/>
          <w:sz w:val="24"/>
          <w:szCs w:val="24"/>
          <w:lang w:val="en-US"/>
        </w:rPr>
        <w:t>5. Baseline hepatic function panel and thyroid function testing (TSH, free T4) required prior to initiation.⁹</w:t>
      </w:r>
    </w:p>
    <w:p w:rsidR="0AE4B27F" w:rsidRDefault="0AE4B27F" w14:paraId="65AC8BEE" w14:textId="77250F83"/>
    <w:p w:rsidR="35AE2BDE" w:rsidRDefault="35AE2BDE" w14:paraId="69B0A4A4" w14:textId="6233CFBA">
      <w:r w:rsidRPr="0AE4B27F" w:rsidR="35AE2BDE">
        <w:rPr>
          <w:rFonts w:ascii="Times New Roman" w:hAnsi="Times New Roman" w:eastAsia="Times New Roman" w:cs="Times New Roman"/>
          <w:noProof w:val="0"/>
          <w:sz w:val="24"/>
          <w:szCs w:val="24"/>
          <w:lang w:val="en-US"/>
        </w:rPr>
        <w:t>6. Statin dose verification required at initiation: atorvastatin ≤40 mg/day, pravastatin ≤40 mg/day, rosuvastatin ≤20 mg/day, simvastatin ≤20 mg/day.⁹</w:t>
      </w:r>
    </w:p>
    <w:p w:rsidR="0AE4B27F" w:rsidRDefault="0AE4B27F" w14:paraId="7E9C42B4" w14:textId="6611C972"/>
    <w:p w:rsidR="35AE2BDE" w:rsidRDefault="35AE2BDE" w14:paraId="2C21E02C" w14:textId="583F1D57">
      <w:r w:rsidRPr="0AE4B27F" w:rsidR="35AE2BDE">
        <w:rPr>
          <w:rFonts w:ascii="Times New Roman" w:hAnsi="Times New Roman" w:eastAsia="Times New Roman" w:cs="Times New Roman"/>
          <w:noProof w:val="0"/>
          <w:sz w:val="24"/>
          <w:szCs w:val="24"/>
          <w:lang w:val="en-US"/>
        </w:rPr>
        <w:t>7. CYP2C8 inhibitor screening required at initiation with appropriate dose adjustment or contraindication documentation.⁹</w:t>
      </w:r>
    </w:p>
    <w:p w:rsidR="0AE4B27F" w:rsidRDefault="0AE4B27F" w14:paraId="4F2DDE2C" w14:textId="608496AC"/>
    <w:p w:rsidR="35AE2BDE" w:rsidRDefault="35AE2BDE" w14:paraId="6AC49E37" w14:textId="708821AB">
      <w:r w:rsidRPr="0AE4B27F" w:rsidR="35AE2BDE">
        <w:rPr>
          <w:rFonts w:ascii="Times New Roman" w:hAnsi="Times New Roman" w:eastAsia="Times New Roman" w:cs="Times New Roman"/>
          <w:noProof w:val="0"/>
          <w:sz w:val="24"/>
          <w:szCs w:val="24"/>
          <w:lang w:val="en-US"/>
        </w:rPr>
        <w:t>8. Hepatic function panel monitoring at 3, 6, and 12 months, then every 6 months thereafter.⁹</w:t>
      </w:r>
    </w:p>
    <w:p w:rsidR="0AE4B27F" w:rsidRDefault="0AE4B27F" w14:paraId="25A14783" w14:textId="03FFCA6A"/>
    <w:p w:rsidR="35AE2BDE" w:rsidRDefault="35AE2BDE" w14:paraId="29A0373B" w14:textId="62C1B8C7">
      <w:r w:rsidRPr="0AE4B27F" w:rsidR="35AE2BDE">
        <w:rPr>
          <w:rFonts w:ascii="Times New Roman" w:hAnsi="Times New Roman" w:eastAsia="Times New Roman" w:cs="Times New Roman"/>
          <w:noProof w:val="0"/>
          <w:sz w:val="24"/>
          <w:szCs w:val="24"/>
          <w:lang w:val="en-US"/>
        </w:rPr>
        <w:t>9. Reassessment of treatment response at 12 months using noninvasive biomarkers (VCTE, MRE, ALT).⁹</w:t>
      </w:r>
    </w:p>
    <w:p w:rsidR="0AE4B27F" w:rsidRDefault="0AE4B27F" w14:paraId="4B73CA73" w14:textId="31B03D52"/>
    <w:p w:rsidR="35AE2BDE" w:rsidRDefault="35AE2BDE" w14:paraId="4D04FAA3" w14:textId="5164C278">
      <w:r w:rsidRPr="0AE4B27F" w:rsidR="35AE2BDE">
        <w:rPr>
          <w:rFonts w:ascii="Times New Roman" w:hAnsi="Times New Roman" w:eastAsia="Times New Roman" w:cs="Times New Roman"/>
          <w:noProof w:val="0"/>
          <w:sz w:val="24"/>
          <w:szCs w:val="24"/>
          <w:lang w:val="en-US"/>
        </w:rPr>
        <w:t>10. Formulary status should be reassessed when the 54-month MAESTRO-NASH clinical outcomes data become available, as continued FDA approval is contingent upon verification of clinical benefit under the accelerated approval pathway.¹¹</w:t>
      </w:r>
    </w:p>
    <w:p w:rsidR="0AE4B27F" w:rsidRDefault="0AE4B27F" w14:paraId="25F9C31A" w14:textId="63D98021"/>
    <w:p w:rsidR="35AE2BDE" w:rsidRDefault="35AE2BDE" w14:paraId="17EEF064" w14:textId="1C4EE70F">
      <w:r w:rsidRPr="0AE4B27F" w:rsidR="35AE2BDE">
        <w:rPr>
          <w:rFonts w:ascii="Times New Roman" w:hAnsi="Times New Roman" w:eastAsia="Times New Roman" w:cs="Times New Roman"/>
          <w:noProof w:val="0"/>
          <w:sz w:val="24"/>
          <w:szCs w:val="24"/>
          <w:lang w:val="en-US"/>
        </w:rPr>
        <w:t>---</w:t>
      </w:r>
    </w:p>
    <w:p w:rsidR="0AE4B27F" w:rsidRDefault="0AE4B27F" w14:paraId="370E6138" w14:textId="7FD07CBA"/>
    <w:p w:rsidR="35AE2BDE" w:rsidRDefault="35AE2BDE" w14:paraId="514C95FB" w14:textId="2A176BB7">
      <w:r w:rsidRPr="0AE4B27F" w:rsidR="35AE2BDE">
        <w:rPr>
          <w:rFonts w:ascii="Times New Roman" w:hAnsi="Times New Roman" w:eastAsia="Times New Roman" w:cs="Times New Roman"/>
          <w:noProof w:val="0"/>
          <w:sz w:val="24"/>
          <w:szCs w:val="24"/>
          <w:lang w:val="en-US"/>
        </w:rPr>
        <w:t>PATIENT COUNSELING AND AMBULATORY CARE APPLICATION</w:t>
      </w:r>
    </w:p>
    <w:p w:rsidR="0AE4B27F" w:rsidRDefault="0AE4B27F" w14:paraId="74DC90A4" w14:textId="727DCC6C"/>
    <w:p w:rsidR="35AE2BDE" w:rsidRDefault="35AE2BDE" w14:paraId="356C7FE5" w14:textId="02F1C40A">
      <w:r w:rsidRPr="0AE4B27F" w:rsidR="35AE2BDE">
        <w:rPr>
          <w:rFonts w:ascii="Times New Roman" w:hAnsi="Times New Roman" w:eastAsia="Times New Roman" w:cs="Times New Roman"/>
          <w:noProof w:val="0"/>
          <w:sz w:val="24"/>
          <w:szCs w:val="24"/>
          <w:lang w:val="en-US"/>
        </w:rPr>
        <w:t>Patient Counseling Points</w:t>
      </w:r>
    </w:p>
    <w:p w:rsidR="0AE4B27F" w:rsidRDefault="0AE4B27F" w14:paraId="6BE1EB9F" w14:textId="5B143BAB"/>
    <w:p w:rsidR="35AE2BDE" w:rsidRDefault="35AE2BDE" w14:paraId="40C2B221" w14:textId="0A1C1FCE">
      <w:r w:rsidRPr="0AE4B27F" w:rsidR="35AE2BDE">
        <w:rPr>
          <w:rFonts w:ascii="Times New Roman" w:hAnsi="Times New Roman" w:eastAsia="Times New Roman" w:cs="Times New Roman"/>
          <w:noProof w:val="0"/>
          <w:sz w:val="24"/>
          <w:szCs w:val="24"/>
          <w:lang w:val="en-US"/>
        </w:rPr>
        <w:t>Effective patient counseling is essential for optimizing adherence and safety with resmetirom. The following key counseling points should be addressed at initiation and reinforced at follow-up visits:</w:t>
      </w:r>
    </w:p>
    <w:p w:rsidR="0AE4B27F" w:rsidRDefault="0AE4B27F" w14:paraId="70868CE0" w14:textId="18825E9C"/>
    <w:p w:rsidR="35AE2BDE" w:rsidRDefault="35AE2BDE" w14:paraId="2496B0D3" w14:textId="57128F8C">
      <w:r w:rsidRPr="0AE4B27F" w:rsidR="35AE2BDE">
        <w:rPr>
          <w:rFonts w:ascii="Times New Roman" w:hAnsi="Times New Roman" w:eastAsia="Times New Roman" w:cs="Times New Roman"/>
          <w:noProof w:val="0"/>
          <w:sz w:val="24"/>
          <w:szCs w:val="24"/>
          <w:lang w:val="en-US"/>
        </w:rPr>
        <w:t>Indication and Disease Education: Explain MASH in patient-friendly language — "Your liver has developed inflammation and scarring from a buildup of fat. This medication works specifically in the liver to reduce fat, decrease inflammation, and help reverse some of the scarring. It is not a cure, but it can slow or improve the disease when used along with a healthy diet and regular exercise."</w:t>
      </w:r>
    </w:p>
    <w:p w:rsidR="0AE4B27F" w:rsidRDefault="0AE4B27F" w14:paraId="48B65F09" w14:textId="277E7E75"/>
    <w:p w:rsidR="35AE2BDE" w:rsidRDefault="35AE2BDE" w14:paraId="2A702B83" w14:textId="587AF5B2">
      <w:r w:rsidRPr="0AE4B27F" w:rsidR="35AE2BDE">
        <w:rPr>
          <w:rFonts w:ascii="Times New Roman" w:hAnsi="Times New Roman" w:eastAsia="Times New Roman" w:cs="Times New Roman"/>
          <w:noProof w:val="0"/>
          <w:sz w:val="24"/>
          <w:szCs w:val="24"/>
          <w:lang w:val="en-US"/>
        </w:rPr>
        <w:t>Dosing Instructions: Take one tablet by mouth once daily. The dose is based on body weight — 80 mg for patients weighing less than 220 pounds (100 kg) and 100 mg for patients weighing 220 pounds or more. Tablets should be swallowed whole; do not split, crush, or chew. The medication may be taken with or without food.²¹</w:t>
      </w:r>
    </w:p>
    <w:p w:rsidR="0AE4B27F" w:rsidRDefault="0AE4B27F" w14:paraId="6473E1B7" w14:textId="40ACC587"/>
    <w:p w:rsidR="35AE2BDE" w:rsidRDefault="35AE2BDE" w14:paraId="0BFE8DBD" w14:textId="6436B9F1">
      <w:r w:rsidRPr="0AE4B27F" w:rsidR="35AE2BDE">
        <w:rPr>
          <w:rFonts w:ascii="Times New Roman" w:hAnsi="Times New Roman" w:eastAsia="Times New Roman" w:cs="Times New Roman"/>
          <w:noProof w:val="0"/>
          <w:sz w:val="24"/>
          <w:szCs w:val="24"/>
          <w:lang w:val="en-US"/>
        </w:rPr>
        <w:t>Missed Doses: If a dose is missed, do not take the missed dose. Simply resume with the next scheduled dose the following day. Do not double up.²¹</w:t>
      </w:r>
    </w:p>
    <w:p w:rsidR="0AE4B27F" w:rsidRDefault="0AE4B27F" w14:paraId="7682A4EE" w14:textId="1F99152E"/>
    <w:p w:rsidR="35AE2BDE" w:rsidRDefault="35AE2BDE" w14:paraId="6D739E56" w14:textId="014DFB5B">
      <w:r w:rsidRPr="0AE4B27F" w:rsidR="35AE2BDE">
        <w:rPr>
          <w:rFonts w:ascii="Times New Roman" w:hAnsi="Times New Roman" w:eastAsia="Times New Roman" w:cs="Times New Roman"/>
          <w:noProof w:val="0"/>
          <w:sz w:val="24"/>
          <w:szCs w:val="24"/>
          <w:lang w:val="en-US"/>
        </w:rPr>
        <w:t>Expected Side Effects and Adherence: Diarrhea and nausea are the most common side effects, occurring in approximately 1 in 4 to 1 in 3 patients. These symptoms typically begin within the first few weeks of treatment and usually improve within 2 to 3 weeks. Most cases are mild — no episodes of severe diarrhea were reported in clinical trials. It is important to continue taking the medication through this initial period, as the GI symptoms are generally self-limiting and do not indicate a serious problem.⁹ Staying hydrated and eating smaller, more frequent meals may help manage symptoms.</w:t>
      </w:r>
    </w:p>
    <w:p w:rsidR="0AE4B27F" w:rsidRDefault="0AE4B27F" w14:paraId="76D5E84C" w14:textId="0ADD894F"/>
    <w:p w:rsidR="35AE2BDE" w:rsidRDefault="35AE2BDE" w14:paraId="0F7AD451" w14:textId="16428443">
      <w:r w:rsidRPr="0AE4B27F" w:rsidR="35AE2BDE">
        <w:rPr>
          <w:rFonts w:ascii="Times New Roman" w:hAnsi="Times New Roman" w:eastAsia="Times New Roman" w:cs="Times New Roman"/>
          <w:noProof w:val="0"/>
          <w:sz w:val="24"/>
          <w:szCs w:val="24"/>
          <w:lang w:val="en-US"/>
        </w:rPr>
        <w:t>Gallstone Risk: Report any sudden onset of severe pain in the upper right abdomen, nausea/vomiting, or fever, as these may indicate gallstone-related complications. If an acute gallbladder event occurs, the medication will be temporarily stopped until the event resolves.²²</w:t>
      </w:r>
    </w:p>
    <w:p w:rsidR="0AE4B27F" w:rsidRDefault="0AE4B27F" w14:paraId="504D72C2" w14:textId="272A6D66"/>
    <w:p w:rsidR="35AE2BDE" w:rsidRDefault="35AE2BDE" w14:paraId="7CEBA103" w14:textId="052502F7">
      <w:r w:rsidRPr="0AE4B27F" w:rsidR="35AE2BDE">
        <w:rPr>
          <w:rFonts w:ascii="Times New Roman" w:hAnsi="Times New Roman" w:eastAsia="Times New Roman" w:cs="Times New Roman"/>
          <w:noProof w:val="0"/>
          <w:sz w:val="24"/>
          <w:szCs w:val="24"/>
          <w:lang w:val="en-US"/>
        </w:rPr>
        <w:t>Hepatotoxicity Warning Signs: Seek immediate medical attention for signs of liver injury including yellowing of the skin or eyes (jaundice), dark-colored urine, persistent fatigue, nausea/vomiting, right upper abdominal pain or tenderness, fever, or rash.²²</w:t>
      </w:r>
    </w:p>
    <w:p w:rsidR="0AE4B27F" w:rsidRDefault="0AE4B27F" w14:paraId="4A01FE59" w14:textId="30726C39"/>
    <w:p w:rsidR="35AE2BDE" w:rsidRDefault="35AE2BDE" w14:paraId="7CCF395C" w14:textId="746463BD">
      <w:r w:rsidRPr="0AE4B27F" w:rsidR="35AE2BDE">
        <w:rPr>
          <w:rFonts w:ascii="Times New Roman" w:hAnsi="Times New Roman" w:eastAsia="Times New Roman" w:cs="Times New Roman"/>
          <w:noProof w:val="0"/>
          <w:sz w:val="24"/>
          <w:szCs w:val="24"/>
          <w:lang w:val="en-US"/>
        </w:rPr>
        <w:t>Monitoring Requirements: Explain that blood tests to check liver function will be needed before starting the medication and at 3, 6, and 12 months, then every 6 months. Thyroid function will also be checked at baseline. These tests are important for ensuring the medication is safe and working effectively.⁹</w:t>
      </w:r>
    </w:p>
    <w:p w:rsidR="0AE4B27F" w:rsidRDefault="0AE4B27F" w14:paraId="27BBC059" w14:textId="13DFFB3F"/>
    <w:p w:rsidR="35AE2BDE" w:rsidRDefault="35AE2BDE" w14:paraId="4DC8DC95" w14:textId="42EA1B5E">
      <w:r w:rsidRPr="0AE4B27F" w:rsidR="35AE2BDE">
        <w:rPr>
          <w:rFonts w:ascii="Times New Roman" w:hAnsi="Times New Roman" w:eastAsia="Times New Roman" w:cs="Times New Roman"/>
          <w:noProof w:val="0"/>
          <w:sz w:val="24"/>
          <w:szCs w:val="24"/>
          <w:lang w:val="en-US"/>
        </w:rPr>
        <w:t>Drug Interactions: Inform all healthcare providers (doctors, pharmacists, dentists) that you are taking resmetirom, especially if you are prescribed a statin (cholesterol medication) or clopidogrel (Plavix). Some statins require dose limits when taken with resmetirom, and certain medications cannot be used together. Do not start any new prescription or over-the-counter medications without checking with your pharmacist first.²²</w:t>
      </w:r>
    </w:p>
    <w:p w:rsidR="0AE4B27F" w:rsidRDefault="0AE4B27F" w14:paraId="11C7FF31" w14:textId="46C46FD0"/>
    <w:p w:rsidR="35AE2BDE" w:rsidRDefault="35AE2BDE" w14:paraId="304440DD" w14:textId="4AE95B19">
      <w:r w:rsidRPr="0AE4B27F" w:rsidR="35AE2BDE">
        <w:rPr>
          <w:rFonts w:ascii="Times New Roman" w:hAnsi="Times New Roman" w:eastAsia="Times New Roman" w:cs="Times New Roman"/>
          <w:noProof w:val="0"/>
          <w:sz w:val="24"/>
          <w:szCs w:val="24"/>
          <w:lang w:val="en-US"/>
        </w:rPr>
        <w:t>Lifestyle Reinforcement: Resmetirom is not a replacement for healthy lifestyle habits. Continued adherence to a balanced, reduced-calorie diet and regular physical activity (≥150 minutes/week of moderate-intensity exercise) is essential. Weight loss of 5–10% of body weight provides additional liver benefit and enhances the medication's effectiveness.⁷</w:t>
      </w:r>
    </w:p>
    <w:p w:rsidR="0AE4B27F" w:rsidRDefault="0AE4B27F" w14:paraId="51F50331" w14:textId="242D5E3E"/>
    <w:p w:rsidR="35AE2BDE" w:rsidRDefault="35AE2BDE" w14:paraId="3F1EA842" w14:textId="5DC9C11D">
      <w:r w:rsidRPr="0AE4B27F" w:rsidR="35AE2BDE">
        <w:rPr>
          <w:rFonts w:ascii="Times New Roman" w:hAnsi="Times New Roman" w:eastAsia="Times New Roman" w:cs="Times New Roman"/>
          <w:noProof w:val="0"/>
          <w:sz w:val="24"/>
          <w:szCs w:val="24"/>
          <w:lang w:val="en-US"/>
        </w:rPr>
        <w:t>Expectations and Timeline: Improvement in liver health occurs gradually over months. Clinical trials assessed outcomes at 52 weeks (1 year). Patients should not expect to "feel different" immediately, as the medication works at the cellular level to reduce liver fat and inflammation. Regular follow-up with noninvasive tests will help track progress.</w:t>
      </w:r>
    </w:p>
    <w:p w:rsidR="0AE4B27F" w:rsidRDefault="0AE4B27F" w14:paraId="16CA67CC" w14:textId="2180CF11"/>
    <w:p w:rsidR="35AE2BDE" w:rsidRDefault="35AE2BDE" w14:paraId="10B23674" w14:textId="65127043">
      <w:r w:rsidRPr="0AE4B27F" w:rsidR="35AE2BDE">
        <w:rPr>
          <w:rFonts w:ascii="Times New Roman" w:hAnsi="Times New Roman" w:eastAsia="Times New Roman" w:cs="Times New Roman"/>
          <w:noProof w:val="0"/>
          <w:sz w:val="24"/>
          <w:szCs w:val="24"/>
          <w:lang w:val="en-US"/>
        </w:rPr>
        <w:t>Pregnancy and Lactation: There are no adequate data on resmetirom use in pregnant or breastfeeding women. Patients who are pregnant, planning to become pregnant, or breastfeeding should discuss risks and benefits with their provider. A pregnancy registry is available for patients exposed to resmetirom during pregnancy (</w:t>
      </w:r>
      <w:hyperlink r:id="R280aad31a4fc499a">
        <w:r w:rsidRPr="0AE4B27F" w:rsidR="35AE2BDE">
          <w:rPr>
            <w:rStyle w:val="Hyperlink"/>
            <w:rFonts w:ascii="Times New Roman" w:hAnsi="Times New Roman" w:eastAsia="Times New Roman" w:cs="Times New Roman"/>
            <w:noProof w:val="0"/>
            <w:lang w:val="en-US"/>
          </w:rPr>
          <w:t>https://pregnancyregistry.madrigalpharma.com</w:t>
        </w:r>
      </w:hyperlink>
      <w:r w:rsidRPr="0AE4B27F" w:rsidR="35AE2BDE">
        <w:rPr>
          <w:rFonts w:ascii="Times New Roman" w:hAnsi="Times New Roman" w:eastAsia="Times New Roman" w:cs="Times New Roman"/>
          <w:noProof w:val="0"/>
          <w:sz w:val="24"/>
          <w:szCs w:val="24"/>
          <w:lang w:val="en-US"/>
        </w:rPr>
        <w:t xml:space="preserve"> or 1-800-905-0324).²²</w:t>
      </w:r>
    </w:p>
    <w:p w:rsidR="0AE4B27F" w:rsidRDefault="0AE4B27F" w14:paraId="34A73AAF" w14:textId="4A7F58E6"/>
    <w:p w:rsidR="35AE2BDE" w:rsidRDefault="35AE2BDE" w14:paraId="62C0832A" w14:textId="7969A170">
      <w:r w:rsidRPr="0AE4B27F" w:rsidR="35AE2BDE">
        <w:rPr>
          <w:rFonts w:ascii="Times New Roman" w:hAnsi="Times New Roman" w:eastAsia="Times New Roman" w:cs="Times New Roman"/>
          <w:noProof w:val="0"/>
          <w:sz w:val="24"/>
          <w:szCs w:val="24"/>
          <w:lang w:val="en-US"/>
        </w:rPr>
        <w:t>Storage: Store at room temperature, 68°F to 77°F (20°C to 25°C). Keep in the original bottle with the child-resistant cap securely closed.²⁷</w:t>
      </w:r>
    </w:p>
    <w:p w:rsidR="0AE4B27F" w:rsidRDefault="0AE4B27F" w14:paraId="0250E53A" w14:textId="205DCFCF"/>
    <w:p w:rsidR="35AE2BDE" w:rsidRDefault="35AE2BDE" w14:paraId="2DFBCA5D" w14:textId="3E8A57C9">
      <w:r w:rsidRPr="0AE4B27F" w:rsidR="35AE2BDE">
        <w:rPr>
          <w:rFonts w:ascii="Times New Roman" w:hAnsi="Times New Roman" w:eastAsia="Times New Roman" w:cs="Times New Roman"/>
          <w:noProof w:val="0"/>
          <w:sz w:val="24"/>
          <w:szCs w:val="24"/>
          <w:lang w:val="en-US"/>
        </w:rPr>
        <w:t>Ambulatory Care Pharmacy Role</w:t>
      </w:r>
    </w:p>
    <w:p w:rsidR="0AE4B27F" w:rsidRDefault="0AE4B27F" w14:paraId="451D7455" w14:textId="5D16C557"/>
    <w:p w:rsidR="35AE2BDE" w:rsidRDefault="35AE2BDE" w14:paraId="2242EB8D" w14:textId="7FE9AEB4">
      <w:r w:rsidRPr="0AE4B27F" w:rsidR="35AE2BDE">
        <w:rPr>
          <w:rFonts w:ascii="Times New Roman" w:hAnsi="Times New Roman" w:eastAsia="Times New Roman" w:cs="Times New Roman"/>
          <w:noProof w:val="0"/>
          <w:sz w:val="24"/>
          <w:szCs w:val="24"/>
          <w:lang w:val="en-US"/>
        </w:rPr>
        <w:t>The ambulatory care pharmacist is uniquely positioned to serve as a central figure in MASH management, spanning the continuum from screening and identification through treatment initiation, monitoring, and long-term follow-up. The following roles highlight the pharmacist's value in optimizing resmetirom therapy and broader MASH care:</w:t>
      </w:r>
    </w:p>
    <w:p w:rsidR="0AE4B27F" w:rsidRDefault="0AE4B27F" w14:paraId="48B49943" w14:textId="009C8371"/>
    <w:p w:rsidR="35AE2BDE" w:rsidRDefault="35AE2BDE" w14:paraId="111C5E44" w14:textId="373A9D84">
      <w:r w:rsidRPr="0AE4B27F" w:rsidR="35AE2BDE">
        <w:rPr>
          <w:rFonts w:ascii="Times New Roman" w:hAnsi="Times New Roman" w:eastAsia="Times New Roman" w:cs="Times New Roman"/>
          <w:noProof w:val="0"/>
          <w:sz w:val="24"/>
          <w:szCs w:val="24"/>
          <w:lang w:val="en-US"/>
        </w:rPr>
        <w:t>Screening and Patient Identification: Pharmacists in ambulatory care settings can proactively identify patients at risk for advanced fibrosis by calculating FIB-4 scores during routine chronic disease management visits, annual wellness visits, or comprehensive medication reviews. A recent study demonstrated that pharmacist-led FIB-4 screening in a primary care family medicine clinic identified 15.5% of screened patients as moderate or high risk for advanced fibrosis, with 51% qualifying for additional pharmacotherapy — validating the feasibility and clinical impact of pharmacist-driven MASLD screening.¹⁷ Pharmacists can also leverage electronic medical record (EMR) queries and clinical decision support tools to identify patients with cardiometabolic risk factors (type 2 diabetes, obesity, dyslipidemia, hypertension) who meet criteria for FIB-4 screening, enabling population-level case finding.</w:t>
      </w:r>
    </w:p>
    <w:p w:rsidR="0AE4B27F" w:rsidRDefault="0AE4B27F" w14:paraId="4D7F133B" w14:textId="1D70A796"/>
    <w:p w:rsidR="35AE2BDE" w:rsidRDefault="35AE2BDE" w14:paraId="26912720" w14:textId="18D2D07C">
      <w:r w:rsidRPr="0AE4B27F" w:rsidR="35AE2BDE">
        <w:rPr>
          <w:rFonts w:ascii="Times New Roman" w:hAnsi="Times New Roman" w:eastAsia="Times New Roman" w:cs="Times New Roman"/>
          <w:noProof w:val="0"/>
          <w:sz w:val="24"/>
          <w:szCs w:val="24"/>
          <w:lang w:val="en-US"/>
        </w:rPr>
        <w:t>Drug Interaction Management: Given resmetirom's clinically significant interactions with CYP2C8 inhibitors and OATP1B1/1B3 substrates, the pharmacist should conduct a thorough medication reconciliation at initiation and at every follow-up encounter. Specific actions include: verifying statin doses do not exceed recommended caps (atorvastatin ≤40 mg, pravastatin ≤40 mg, rosuvastatin ≤20 mg, simvastatin ≤20 mg); screening for concomitant CYP2C8 inhibitors (clopidogrel, gemfibrozil) and recommending dose adjustments or contraindication flags; monitoring for statin-related adverse effects (myalgia, elevated CK, transaminase elevations); and documenting interaction assessments in the medical record for continuity of care.⁹</w:t>
      </w:r>
    </w:p>
    <w:p w:rsidR="0AE4B27F" w:rsidRDefault="0AE4B27F" w14:paraId="31312B68" w14:textId="6077BAB0"/>
    <w:p w:rsidR="35AE2BDE" w:rsidRDefault="35AE2BDE" w14:paraId="79CA20BF" w14:textId="57B4CBDC">
      <w:r w:rsidRPr="0AE4B27F" w:rsidR="35AE2BDE">
        <w:rPr>
          <w:rFonts w:ascii="Times New Roman" w:hAnsi="Times New Roman" w:eastAsia="Times New Roman" w:cs="Times New Roman"/>
          <w:noProof w:val="0"/>
          <w:sz w:val="24"/>
          <w:szCs w:val="24"/>
          <w:lang w:val="en-US"/>
        </w:rPr>
        <w:t>Monitoring and Treatment Response Assessment: The pharmacist can order and review hepatic function panels at the recommended intervals (baseline, 3, 6, 12 months, then every 6 months), track trends in ALT/AST, and flag any values suggestive of hepatotoxicity for immediate provider notification and resmetirom discontinuation per AASLD guidance.⁹ Thyroid function testing (TSH, free T4) should be obtained at baseline, with ongoing monitoring guided by clinical judgment and the patient's thyroid disease history.⁹ Efficacy can be tracked through noninvasive biomarkers — a ≥20% reduction in VCTE liver stiffness measurement or a decrease to &lt;10 kPa, or a ≥20% reduction in MRE-measured liver stiffness, may represent clinically meaningful improvement.⁹ ALT normalization or significant reduction serves as an additional accessible marker of treatment response.</w:t>
      </w:r>
    </w:p>
    <w:p w:rsidR="0AE4B27F" w:rsidRDefault="0AE4B27F" w14:paraId="5C2F96C8" w14:textId="3AE976A3"/>
    <w:p w:rsidR="35AE2BDE" w:rsidRDefault="35AE2BDE" w14:paraId="5F752BEA" w14:textId="2B71F37B">
      <w:r w:rsidRPr="0AE4B27F" w:rsidR="35AE2BDE">
        <w:rPr>
          <w:rFonts w:ascii="Times New Roman" w:hAnsi="Times New Roman" w:eastAsia="Times New Roman" w:cs="Times New Roman"/>
          <w:noProof w:val="0"/>
          <w:sz w:val="24"/>
          <w:szCs w:val="24"/>
          <w:lang w:val="en-US"/>
        </w:rPr>
        <w:t>Patient Education and Adherence Support: The pharmacist should provide comprehensive initial counseling (as outlined above) and reinforce key messages at each follow-up. Adherence monitoring through prescription refill tracking, motivational interviewing techniques, and proactive outreach for patients who miss refills or appointments can improve long-term treatment persistence. Setting realistic expectations about the timeline for benefit (months, not days) and normalizing early GI side effects are critical for preventing premature discontinuation.</w:t>
      </w:r>
    </w:p>
    <w:p w:rsidR="0AE4B27F" w:rsidRDefault="0AE4B27F" w14:paraId="69E253FF" w14:textId="11039653"/>
    <w:p w:rsidR="35AE2BDE" w:rsidRDefault="35AE2BDE" w14:paraId="651F4D87" w14:textId="72252158">
      <w:r w:rsidRPr="0AE4B27F" w:rsidR="35AE2BDE">
        <w:rPr>
          <w:rFonts w:ascii="Times New Roman" w:hAnsi="Times New Roman" w:eastAsia="Times New Roman" w:cs="Times New Roman"/>
          <w:noProof w:val="0"/>
          <w:sz w:val="24"/>
          <w:szCs w:val="24"/>
          <w:lang w:val="en-US"/>
        </w:rPr>
        <w:t>Care Coordination: MASH management requires collaboration across multiple specialties. The ambulatory care pharmacist can serve as the communication hub between hepatology/gastroenterology (fibrosis staging, treatment decisions), primary care (comorbidity management, screening), endocrinology (diabetes and thyroid management), and cardiology (cardiovascular risk reduction). Pharmacist-generated progress notes documenting monitoring results, interaction assessments, and adherence status facilitate seamless interprofessional communication.</w:t>
      </w:r>
    </w:p>
    <w:p w:rsidR="0AE4B27F" w:rsidRDefault="0AE4B27F" w14:paraId="07C92773" w14:textId="4E6D526F"/>
    <w:p w:rsidR="35AE2BDE" w:rsidRDefault="35AE2BDE" w14:paraId="393473AD" w14:textId="5E73370E">
      <w:r w:rsidRPr="0AE4B27F" w:rsidR="35AE2BDE">
        <w:rPr>
          <w:rFonts w:ascii="Times New Roman" w:hAnsi="Times New Roman" w:eastAsia="Times New Roman" w:cs="Times New Roman"/>
          <w:noProof w:val="0"/>
          <w:sz w:val="24"/>
          <w:szCs w:val="24"/>
          <w:lang w:val="en-US"/>
        </w:rPr>
        <w:t>Access and Affordability Navigation: As discussed in the cost section, resmetirom's high cost and variable insurance coverage create significant access barriers. The pharmacist should lead benefit investigation at the time of prescribing, initiate prior authorization submissions with supporting clinical documentation (NIT results, fibrosis staging, specialist consultation notes), file appeals for denied claims with additional evidence, enroll eligible patients in the Madrigal Connect patient support program, and identify alternative funding sources (foundation grants, state pharmaceutical assistance programs) for uninsured or underinsured patients.</w:t>
      </w:r>
    </w:p>
    <w:p w:rsidR="0AE4B27F" w:rsidRDefault="0AE4B27F" w14:paraId="58688B87" w14:textId="1997F7C4"/>
    <w:p w:rsidR="35AE2BDE" w:rsidRDefault="35AE2BDE" w14:paraId="6000AE8E" w14:textId="43B9BEC1">
      <w:r w:rsidRPr="0AE4B27F" w:rsidR="35AE2BDE">
        <w:rPr>
          <w:rFonts w:ascii="Times New Roman" w:hAnsi="Times New Roman" w:eastAsia="Times New Roman" w:cs="Times New Roman"/>
          <w:noProof w:val="0"/>
          <w:sz w:val="24"/>
          <w:szCs w:val="24"/>
          <w:lang w:val="en-US"/>
        </w:rPr>
        <w:t>Comorbidity Management: Patients with MASH invariably have multiple cardiometabolic comorbidities that require concurrent optimization. The ambulatory care pharmacist should ensure that type 2 diabetes is managed to individualized glycemic targets (with preference for agents with hepatic and cardiovascular benefit such as GLP-1 receptor agonists and SGLT2 inhibitors); dyslipidemia is treated per guidelines with appropriate statin dosing within resmetirom's dose caps; hypertension is controlled to target; and obesity is addressed through lifestyle counseling and, when appropriate, anti-obesity pharmacotherapy. This holistic approach aligns with the American Diabetes Association's 2025 consensus report emphasizing interprofessional teams — including pharmacists — in MASLD management.¹⁴</w:t>
      </w:r>
    </w:p>
    <w:p w:rsidR="0AE4B27F" w:rsidRDefault="0AE4B27F" w14:paraId="601B9B7E" w14:textId="0C924920"/>
    <w:p w:rsidR="35AE2BDE" w:rsidRDefault="35AE2BDE" w14:paraId="0FBBA6A4" w14:textId="79963565">
      <w:r w:rsidRPr="0AE4B27F" w:rsidR="35AE2BDE">
        <w:rPr>
          <w:rFonts w:ascii="Times New Roman" w:hAnsi="Times New Roman" w:eastAsia="Times New Roman" w:cs="Times New Roman"/>
          <w:noProof w:val="0"/>
          <w:sz w:val="24"/>
          <w:szCs w:val="24"/>
          <w:lang w:val="en-US"/>
        </w:rPr>
        <w:t>Collaborative Practice Agreements: In states where collaborative practice agreements (CPAs) or protocol-driven care models are authorized, the ambulatory care pharmacist can function under a CPA to independently order laboratory monitoring, adjust statin doses per resmetirom interaction guidelines, initiate resmetirom therapy per protocol, and manage GI side effects — reducing provider burden and improving care efficiency. This model is consistent with the American Society of Health-System Pharmacists (ASHP) and American College of Clinical Pharmacy (ACCP) position statements supporting pharmacist-provided comprehensive medication management as a core component of patient-centered care.¹⁶</w:t>
      </w:r>
    </w:p>
    <w:p w:rsidR="0AE4B27F" w:rsidRDefault="0AE4B27F" w14:paraId="0EE3AAB6" w14:textId="44F3CF60"/>
    <w:p w:rsidR="35AE2BDE" w:rsidRDefault="35AE2BDE" w14:paraId="10493E78" w14:textId="2537AC20">
      <w:r w:rsidRPr="0AE4B27F" w:rsidR="35AE2BDE">
        <w:rPr>
          <w:rFonts w:ascii="Times New Roman" w:hAnsi="Times New Roman" w:eastAsia="Times New Roman" w:cs="Times New Roman"/>
          <w:noProof w:val="0"/>
          <w:sz w:val="24"/>
          <w:szCs w:val="24"/>
          <w:lang w:val="en-US"/>
        </w:rPr>
        <w:t>Population Health and Quality Improvement: At the systems level, the pharmacist can develop EMR-based screening protocols to identify patients with elevated FIB-4 scores who have not been referred for second-tier testing, create patient registries for MASH patients on resmetirom to track monitoring compliance and treatment outcomes, establish quality metrics (e.g., percentage of eligible patients screened, percentage with completed monitoring at 3/6/12 months, statin dose cap compliance rate), and generate data to support formulary reassessment when long-term outcomes data become available.</w:t>
      </w:r>
    </w:p>
    <w:p w:rsidR="0AE4B27F" w:rsidRDefault="0AE4B27F" w14:paraId="5EBBA673" w14:textId="2F26181B"/>
    <w:p w:rsidR="35AE2BDE" w:rsidRDefault="35AE2BDE" w14:paraId="1E98076E" w14:textId="681B021E">
      <w:r w:rsidRPr="0AE4B27F" w:rsidR="35AE2BDE">
        <w:rPr>
          <w:rFonts w:ascii="Times New Roman" w:hAnsi="Times New Roman" w:eastAsia="Times New Roman" w:cs="Times New Roman"/>
          <w:noProof w:val="0"/>
          <w:sz w:val="24"/>
          <w:szCs w:val="24"/>
          <w:lang w:val="en-US"/>
        </w:rPr>
        <w:t>---</w:t>
      </w:r>
    </w:p>
    <w:p w:rsidR="0AE4B27F" w:rsidRDefault="0AE4B27F" w14:paraId="3B977A23" w14:textId="0F20CE9C"/>
    <w:p w:rsidR="35AE2BDE" w:rsidRDefault="35AE2BDE" w14:paraId="601232C5" w14:textId="44686675">
      <w:r w:rsidRPr="0AE4B27F" w:rsidR="35AE2BDE">
        <w:rPr>
          <w:rFonts w:ascii="Times New Roman" w:hAnsi="Times New Roman" w:eastAsia="Times New Roman" w:cs="Times New Roman"/>
          <w:noProof w:val="0"/>
          <w:sz w:val="24"/>
          <w:szCs w:val="24"/>
          <w:lang w:val="en-US"/>
        </w:rPr>
        <w:t>REFERENCES</w:t>
      </w:r>
    </w:p>
    <w:p w:rsidR="0AE4B27F" w:rsidRDefault="0AE4B27F" w14:paraId="4E613F4E" w14:textId="43D64974"/>
    <w:p w:rsidR="35AE2BDE" w:rsidRDefault="35AE2BDE" w14:paraId="5856FEEB" w14:textId="7B78150E">
      <w:r w:rsidRPr="0AE4B27F" w:rsidR="35AE2BDE">
        <w:rPr>
          <w:rFonts w:ascii="Times New Roman" w:hAnsi="Times New Roman" w:eastAsia="Times New Roman" w:cs="Times New Roman"/>
          <w:noProof w:val="0"/>
          <w:sz w:val="24"/>
          <w:szCs w:val="24"/>
          <w:lang w:val="en-US"/>
        </w:rPr>
        <w:t>1. Rinella ME, Lazarus JV, Ratziu V, et al. A multisociety Delphi consensus statement on new fatty liver disease nomenclature. Hepatology. 2023;78(6):1966-1986.</w:t>
      </w:r>
    </w:p>
    <w:p w:rsidR="0AE4B27F" w:rsidRDefault="0AE4B27F" w14:paraId="38D9E87B" w14:textId="246D100E"/>
    <w:p w:rsidR="35AE2BDE" w:rsidRDefault="35AE2BDE" w14:paraId="68FB180B" w14:textId="37F3535F">
      <w:r w:rsidRPr="0AE4B27F" w:rsidR="35AE2BDE">
        <w:rPr>
          <w:rFonts w:ascii="Times New Roman" w:hAnsi="Times New Roman" w:eastAsia="Times New Roman" w:cs="Times New Roman"/>
          <w:noProof w:val="0"/>
          <w:sz w:val="24"/>
          <w:szCs w:val="24"/>
          <w:lang w:val="en-US"/>
        </w:rPr>
        <w:t>2. Targher G, Valenti L, Byrne CD. Metabolic dysfunction-associated steatotic liver disease. N Engl J Med. 2025;393(7):e16.</w:t>
      </w:r>
    </w:p>
    <w:p w:rsidR="0AE4B27F" w:rsidRDefault="0AE4B27F" w14:paraId="18918E7B" w14:textId="6578AAF6"/>
    <w:p w:rsidR="35AE2BDE" w:rsidRDefault="35AE2BDE" w14:paraId="5B11F505" w14:textId="3AF04454">
      <w:r w:rsidRPr="0AE4B27F" w:rsidR="35AE2BDE">
        <w:rPr>
          <w:rFonts w:ascii="Times New Roman" w:hAnsi="Times New Roman" w:eastAsia="Times New Roman" w:cs="Times New Roman"/>
          <w:noProof w:val="0"/>
          <w:sz w:val="24"/>
          <w:szCs w:val="24"/>
          <w:lang w:val="en-US"/>
        </w:rPr>
        <w:t>3. Harrison SA, Bedossa P, Guy CD, et al. A phase 3, randomized, controlled trial of resmetirom in NASH with liver fibrosis. N Engl J Med. 2024;390(6):497-509.</w:t>
      </w:r>
    </w:p>
    <w:p w:rsidR="0AE4B27F" w:rsidRDefault="0AE4B27F" w14:paraId="16B40E77" w14:textId="6DD13413"/>
    <w:p w:rsidR="35AE2BDE" w:rsidRDefault="35AE2BDE" w14:paraId="348D3028" w14:textId="2474ECCF">
      <w:r w:rsidRPr="0AE4B27F" w:rsidR="35AE2BDE">
        <w:rPr>
          <w:rFonts w:ascii="Times New Roman" w:hAnsi="Times New Roman" w:eastAsia="Times New Roman" w:cs="Times New Roman"/>
          <w:noProof w:val="0"/>
          <w:sz w:val="24"/>
          <w:szCs w:val="24"/>
          <w:lang w:val="en-US"/>
        </w:rPr>
        <w:t>4. Younossi ZM, Razavi H, Sherman M, et al. Addressing the high and rising global burden of metabolic dysfunction-associated steatotic liver disease (MASLD) and metabolic dysfunction-associated steatohepatitis (MASH): from the growing prevalence to payors' perspective. Aliment Pharmacol Ther. 2025;61(9):1434-1452.</w:t>
      </w:r>
    </w:p>
    <w:p w:rsidR="0AE4B27F" w:rsidRDefault="0AE4B27F" w14:paraId="2896C698" w14:textId="5371E39E"/>
    <w:p w:rsidR="35AE2BDE" w:rsidRDefault="35AE2BDE" w14:paraId="7D3B0E8F" w14:textId="118D3128">
      <w:r w:rsidRPr="0AE4B27F" w:rsidR="35AE2BDE">
        <w:rPr>
          <w:rFonts w:ascii="Times New Roman" w:hAnsi="Times New Roman" w:eastAsia="Times New Roman" w:cs="Times New Roman"/>
          <w:noProof w:val="0"/>
          <w:sz w:val="24"/>
          <w:szCs w:val="24"/>
          <w:lang w:val="en-US"/>
        </w:rPr>
        <w:t>5. Jamalinia M, Zare F, Mantovani A, Targher G, Lonardo A. Metabolic dysfunction-associated steatotic liver disease and sex-specific risk of fatal and non-fatal cardiovascular events: a meta-analysis. Diabetes Obes Metab. 2025;27(3):1234-1245.</w:t>
      </w:r>
    </w:p>
    <w:p w:rsidR="0AE4B27F" w:rsidRDefault="0AE4B27F" w14:paraId="13D4545F" w14:textId="0A686431"/>
    <w:p w:rsidR="35AE2BDE" w:rsidRDefault="35AE2BDE" w14:paraId="71D106B4" w14:textId="32FED386">
      <w:r w:rsidRPr="0AE4B27F" w:rsidR="35AE2BDE">
        <w:rPr>
          <w:rFonts w:ascii="Times New Roman" w:hAnsi="Times New Roman" w:eastAsia="Times New Roman" w:cs="Times New Roman"/>
          <w:noProof w:val="0"/>
          <w:sz w:val="24"/>
          <w:szCs w:val="24"/>
          <w:lang w:val="en-US"/>
        </w:rPr>
        <w:t>6. Polyzos SA, Targher G. Hepatic thyroid hormone receptor-β signalling: mechanisms and recent advancements in the treatment of metabolic dysfunction-associated steatohepatitis. Diabetes Obes Metab. 2025;27(4):1567-1580.</w:t>
      </w:r>
    </w:p>
    <w:p w:rsidR="0AE4B27F" w:rsidRDefault="0AE4B27F" w14:paraId="42DC92A1" w14:textId="66726D59"/>
    <w:p w:rsidR="35AE2BDE" w:rsidRDefault="35AE2BDE" w14:paraId="49BCBB2A" w14:textId="278DAE33">
      <w:r w:rsidRPr="0AE4B27F" w:rsidR="35AE2BDE">
        <w:rPr>
          <w:rFonts w:ascii="Times New Roman" w:hAnsi="Times New Roman" w:eastAsia="Times New Roman" w:cs="Times New Roman"/>
          <w:noProof w:val="0"/>
          <w:sz w:val="24"/>
          <w:szCs w:val="24"/>
          <w:lang w:val="en-US"/>
        </w:rPr>
        <w:t>7. Wood E, Akande R, Iqbal I, Albert SG. Meta-analysis of clinically available pharmacotherapy of biopsy confirmed metabolic dysfunction associated steatohepatitis (MASH). Diabetes Obes Metab. 2026;28(2):345-358.</w:t>
      </w:r>
    </w:p>
    <w:p w:rsidR="0AE4B27F" w:rsidRDefault="0AE4B27F" w14:paraId="3D0EA0D1" w14:textId="657BFC60"/>
    <w:p w:rsidR="35AE2BDE" w:rsidRDefault="35AE2BDE" w14:paraId="3A1A99EB" w14:textId="2F1321F7">
      <w:r w:rsidRPr="0AE4B27F" w:rsidR="35AE2BDE">
        <w:rPr>
          <w:rFonts w:ascii="Times New Roman" w:hAnsi="Times New Roman" w:eastAsia="Times New Roman" w:cs="Times New Roman"/>
          <w:noProof w:val="0"/>
          <w:sz w:val="24"/>
          <w:szCs w:val="24"/>
          <w:lang w:val="en-US"/>
        </w:rPr>
        <w:t>8. Le P, Dasarathy S, Herman WH, et al. Value-based pricing of resmetirom for metabolic dysfunction-associated steatotic liver disease. JAMA Netw Open. 2025;8(6):e2514892.</w:t>
      </w:r>
    </w:p>
    <w:p w:rsidR="0AE4B27F" w:rsidRDefault="0AE4B27F" w14:paraId="6DDFD2EB" w14:textId="57C591D6"/>
    <w:p w:rsidR="35AE2BDE" w:rsidRDefault="35AE2BDE" w14:paraId="1A48BB21" w14:textId="7EA1BF28">
      <w:r w:rsidRPr="0AE4B27F" w:rsidR="35AE2BDE">
        <w:rPr>
          <w:rFonts w:ascii="Times New Roman" w:hAnsi="Times New Roman" w:eastAsia="Times New Roman" w:cs="Times New Roman"/>
          <w:noProof w:val="0"/>
          <w:sz w:val="24"/>
          <w:szCs w:val="24"/>
          <w:lang w:val="en-US"/>
        </w:rPr>
        <w:t>9. Chen VL, Morgan TR, Rotman Y, et al. Resmetirom therapy for metabolic dysfunction-associated steatotic liver disease: October 2024 updates to AASLD practice guidance. Hepatology. 2025;81(5):1774-1786.</w:t>
      </w:r>
    </w:p>
    <w:p w:rsidR="0AE4B27F" w:rsidRDefault="0AE4B27F" w14:paraId="75F6DFBE" w14:textId="2BB95597"/>
    <w:p w:rsidR="35AE2BDE" w:rsidRDefault="35AE2BDE" w14:paraId="1876EA7B" w14:textId="5386156A">
      <w:r w:rsidRPr="0AE4B27F" w:rsidR="35AE2BDE">
        <w:rPr>
          <w:rFonts w:ascii="Times New Roman" w:hAnsi="Times New Roman" w:eastAsia="Times New Roman" w:cs="Times New Roman"/>
          <w:noProof w:val="0"/>
          <w:sz w:val="24"/>
          <w:szCs w:val="24"/>
          <w:lang w:val="en-US"/>
        </w:rPr>
        <w:t>10. Ohri S, Summa M. Resmetirom (Rezdiffra) for the treatment of noncirrhotic nonalcoholic steatohepatitis with moderate to advanced fibrosis. Am Fam Physician. 2024;110(3):312-313.</w:t>
      </w:r>
    </w:p>
    <w:p w:rsidR="0AE4B27F" w:rsidRDefault="0AE4B27F" w14:paraId="0D718680" w14:textId="05471368"/>
    <w:p w:rsidR="35AE2BDE" w:rsidRDefault="35AE2BDE" w14:paraId="438CB153" w14:textId="618E2DAC">
      <w:r w:rsidRPr="0AE4B27F" w:rsidR="35AE2BDE">
        <w:rPr>
          <w:rFonts w:ascii="Times New Roman" w:hAnsi="Times New Roman" w:eastAsia="Times New Roman" w:cs="Times New Roman"/>
          <w:noProof w:val="0"/>
          <w:sz w:val="24"/>
          <w:szCs w:val="24"/>
          <w:lang w:val="en-US"/>
        </w:rPr>
        <w:t>11. Rezdiffra (resmetirom) [prescribing information]. Conshohocken, PA: Madrigal Pharmaceuticals, Inc; 2024.</w:t>
      </w:r>
    </w:p>
    <w:p w:rsidR="0AE4B27F" w:rsidRDefault="0AE4B27F" w14:paraId="0356CA2F" w14:textId="72905F6D"/>
    <w:p w:rsidR="35AE2BDE" w:rsidRDefault="35AE2BDE" w14:paraId="5FF48035" w14:textId="44ECE0FA">
      <w:r w:rsidRPr="0AE4B27F" w:rsidR="35AE2BDE">
        <w:rPr>
          <w:rFonts w:ascii="Times New Roman" w:hAnsi="Times New Roman" w:eastAsia="Times New Roman" w:cs="Times New Roman"/>
          <w:noProof w:val="0"/>
          <w:sz w:val="24"/>
          <w:szCs w:val="24"/>
          <w:lang w:val="en-US"/>
        </w:rPr>
        <w:t>12. Noureddin M, Rinella M, Taub R, et al. Effects of resmetirom on metabolic-dysfunction associated steatohepatitis in patients with weight loss and/or diabetes taking glucagon-like peptide-1 receptor agonists and other diabetes therapies: a secondary analysis of the MAESTRO-NASH trial. Aliment Pharmacol Ther. 2025;61(5):789-800.</w:t>
      </w:r>
    </w:p>
    <w:p w:rsidR="0AE4B27F" w:rsidRDefault="0AE4B27F" w14:paraId="4CB4875F" w14:textId="1C3E9E95"/>
    <w:p w:rsidR="35AE2BDE" w:rsidRDefault="35AE2BDE" w14:paraId="0B6DEA6F" w14:textId="7CC46143">
      <w:r w:rsidRPr="0AE4B27F" w:rsidR="35AE2BDE">
        <w:rPr>
          <w:rFonts w:ascii="Times New Roman" w:hAnsi="Times New Roman" w:eastAsia="Times New Roman" w:cs="Times New Roman"/>
          <w:noProof w:val="0"/>
          <w:sz w:val="24"/>
          <w:szCs w:val="24"/>
          <w:lang w:val="en-US"/>
        </w:rPr>
        <w:t>13. Harrison SA, Taub R, Neff GW, et al. Resmetirom for nonalcoholic fatty liver disease: a randomized, double-blind, placebo-controlled phase 3 trial. Nat Med. 2023;29(11):2919-2928.</w:t>
      </w:r>
    </w:p>
    <w:p w:rsidR="0AE4B27F" w:rsidRDefault="0AE4B27F" w14:paraId="6AA847C4" w14:textId="52B8EEC0"/>
    <w:p w:rsidR="35AE2BDE" w:rsidRDefault="35AE2BDE" w14:paraId="7821D65D" w14:textId="5F36E122">
      <w:r w:rsidRPr="0AE4B27F" w:rsidR="35AE2BDE">
        <w:rPr>
          <w:rFonts w:ascii="Times New Roman" w:hAnsi="Times New Roman" w:eastAsia="Times New Roman" w:cs="Times New Roman"/>
          <w:noProof w:val="0"/>
          <w:sz w:val="24"/>
          <w:szCs w:val="24"/>
          <w:lang w:val="en-US"/>
        </w:rPr>
        <w:t>14. Cusi K, Abdelmalek MF, Apovian CM, et al. Metabolic dysfunction-associated steatotic liver disease (MASLD) in people with diabetes: the need for screening and early intervention. A consensus report of the American Diabetes Association. Diabetes Care. 2025;48(7):1-28.</w:t>
      </w:r>
    </w:p>
    <w:p w:rsidR="0AE4B27F" w:rsidRDefault="0AE4B27F" w14:paraId="31918D9E" w14:textId="5603EB29"/>
    <w:p w:rsidR="35AE2BDE" w:rsidRDefault="35AE2BDE" w14:paraId="50ED1F22" w14:textId="07CD212B">
      <w:r w:rsidRPr="0AE4B27F" w:rsidR="35AE2BDE">
        <w:rPr>
          <w:rFonts w:ascii="Times New Roman" w:hAnsi="Times New Roman" w:eastAsia="Times New Roman" w:cs="Times New Roman"/>
          <w:noProof w:val="0"/>
          <w:sz w:val="24"/>
          <w:szCs w:val="24"/>
          <w:lang w:val="en-US"/>
        </w:rPr>
        <w:t>15. Newsome PN, Loomba R. Therapeutic horizons in metabolic dysfunction-associated steatohepatitis. J Clin Invest. 2025;135(13):e186434.</w:t>
      </w:r>
    </w:p>
    <w:p w:rsidR="0AE4B27F" w:rsidRDefault="0AE4B27F" w14:paraId="32039938" w14:textId="1CED7AD3"/>
    <w:p w:rsidR="35AE2BDE" w:rsidRDefault="35AE2BDE" w14:paraId="036D2A92" w14:textId="61485058">
      <w:r w:rsidRPr="0AE4B27F" w:rsidR="35AE2BDE">
        <w:rPr>
          <w:rFonts w:ascii="Times New Roman" w:hAnsi="Times New Roman" w:eastAsia="Times New Roman" w:cs="Times New Roman"/>
          <w:noProof w:val="0"/>
          <w:sz w:val="24"/>
          <w:szCs w:val="24"/>
          <w:lang w:val="en-US"/>
        </w:rPr>
        <w:t>16. Knorr JP, Reese R, Serbantez M, Lin KP. Metabolic dysfunction-associated steatotic liver disease (MASLD): integrating metabolic and hepatic management into pharmacy practice. Am J Health Syst Pharm. 2026;83(4):456-468.</w:t>
      </w:r>
    </w:p>
    <w:p w:rsidR="0AE4B27F" w:rsidRDefault="0AE4B27F" w14:paraId="3EF0B403" w14:textId="329FBE6A"/>
    <w:p w:rsidR="35AE2BDE" w:rsidRDefault="35AE2BDE" w14:paraId="74CF4C14" w14:textId="46567A6B">
      <w:r w:rsidRPr="0AE4B27F" w:rsidR="35AE2BDE">
        <w:rPr>
          <w:rFonts w:ascii="Times New Roman" w:hAnsi="Times New Roman" w:eastAsia="Times New Roman" w:cs="Times New Roman"/>
          <w:noProof w:val="0"/>
          <w:sz w:val="24"/>
          <w:szCs w:val="24"/>
          <w:lang w:val="en-US"/>
        </w:rPr>
        <w:t>17. Walton S, Guirguis E, Mack K, Assil R. Pharmacist-led screening for advanced fibrosis using the FIB-4 index in patients 65 years or older with a clinical suspicion for MASLD at a family medicine clinic. Am J Health Syst Pharm. 2025;82(10):1123-1130.</w:t>
      </w:r>
    </w:p>
    <w:p w:rsidR="0AE4B27F" w:rsidRDefault="0AE4B27F" w14:paraId="46EF4287" w14:textId="7DA938FA"/>
    <w:p w:rsidR="0AE4B27F" w:rsidP="0AE4B27F" w:rsidRDefault="0AE4B27F" w14:paraId="790FFD7B" w14:textId="220EF942">
      <w:pPr>
        <w:pStyle w:val="Normal"/>
        <w:rPr>
          <w:rFonts w:ascii="Times New Roman" w:hAnsi="Times New Roman" w:eastAsia="Times New Roman" w:cs="Times New Roman"/>
          <w:noProof w:val="0"/>
          <w:sz w:val="24"/>
          <w:szCs w:val="24"/>
          <w:lang w:val="en-US"/>
        </w:rPr>
      </w:pPr>
    </w:p>
    <w:sectPr w:rsidR="00992596">
      <w:type w:val="continuous"/>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1BA5"/>
    <w:multiLevelType w:val="hybridMultilevel"/>
    <w:tmpl w:val="0A1AC1A4"/>
    <w:lvl w:ilvl="0" w:tplc="600892C2">
      <w:start w:val="1"/>
      <w:numFmt w:val="bullet"/>
      <w:lvlText w:val="●"/>
      <w:lvlJc w:val="left"/>
      <w:pPr>
        <w:ind w:left="720" w:hanging="360"/>
      </w:pPr>
    </w:lvl>
    <w:lvl w:ilvl="1" w:tplc="AE22F06C">
      <w:start w:val="1"/>
      <w:numFmt w:val="bullet"/>
      <w:lvlText w:val="○"/>
      <w:lvlJc w:val="left"/>
      <w:pPr>
        <w:ind w:left="1440" w:hanging="360"/>
      </w:pPr>
    </w:lvl>
    <w:lvl w:ilvl="2" w:tplc="EB3E4CF2">
      <w:start w:val="1"/>
      <w:numFmt w:val="bullet"/>
      <w:lvlText w:val="■"/>
      <w:lvlJc w:val="left"/>
      <w:pPr>
        <w:ind w:left="2160" w:hanging="360"/>
      </w:pPr>
    </w:lvl>
    <w:lvl w:ilvl="3" w:tplc="4E603B24">
      <w:start w:val="1"/>
      <w:numFmt w:val="bullet"/>
      <w:lvlText w:val="●"/>
      <w:lvlJc w:val="left"/>
      <w:pPr>
        <w:ind w:left="2880" w:hanging="360"/>
      </w:pPr>
    </w:lvl>
    <w:lvl w:ilvl="4" w:tplc="35DA4ABA">
      <w:start w:val="1"/>
      <w:numFmt w:val="bullet"/>
      <w:lvlText w:val="○"/>
      <w:lvlJc w:val="left"/>
      <w:pPr>
        <w:ind w:left="3600" w:hanging="360"/>
      </w:pPr>
    </w:lvl>
    <w:lvl w:ilvl="5" w:tplc="4F168178">
      <w:start w:val="1"/>
      <w:numFmt w:val="bullet"/>
      <w:lvlText w:val="■"/>
      <w:lvlJc w:val="left"/>
      <w:pPr>
        <w:ind w:left="4320" w:hanging="360"/>
      </w:pPr>
    </w:lvl>
    <w:lvl w:ilvl="6" w:tplc="6D4A4828">
      <w:start w:val="1"/>
      <w:numFmt w:val="bullet"/>
      <w:lvlText w:val="●"/>
      <w:lvlJc w:val="left"/>
      <w:pPr>
        <w:ind w:left="5040" w:hanging="360"/>
      </w:pPr>
    </w:lvl>
    <w:lvl w:ilvl="7" w:tplc="73E2302C">
      <w:start w:val="1"/>
      <w:numFmt w:val="bullet"/>
      <w:lvlText w:val="●"/>
      <w:lvlJc w:val="left"/>
      <w:pPr>
        <w:ind w:left="5760" w:hanging="360"/>
      </w:pPr>
    </w:lvl>
    <w:lvl w:ilvl="8" w:tplc="957C5376">
      <w:start w:val="1"/>
      <w:numFmt w:val="bullet"/>
      <w:lvlText w:val="●"/>
      <w:lvlJc w:val="left"/>
      <w:pPr>
        <w:ind w:left="6480" w:hanging="360"/>
      </w:pPr>
    </w:lvl>
  </w:abstractNum>
  <w:abstractNum w:abstractNumId="1" w15:restartNumberingAfterBreak="0">
    <w:nsid w:val="6B72419B"/>
    <w:multiLevelType w:val="hybridMultilevel"/>
    <w:tmpl w:val="187EF22E"/>
    <w:lvl w:ilvl="0" w:tplc="84EE486C">
      <w:start w:val="1"/>
      <w:numFmt w:val="decimal"/>
      <w:lvlText w:val="%1."/>
      <w:lvlJc w:val="left"/>
      <w:pPr>
        <w:spacing w:before="0" w:after="0"/>
        <w:ind w:left="720" w:hanging="360"/>
      </w:pPr>
    </w:lvl>
    <w:lvl w:ilvl="1" w:tplc="E64A42A4">
      <w:numFmt w:val="decimal"/>
      <w:lvlText w:val=""/>
      <w:lvlJc w:val="left"/>
    </w:lvl>
    <w:lvl w:ilvl="2" w:tplc="0E5AE996">
      <w:numFmt w:val="decimal"/>
      <w:lvlText w:val=""/>
      <w:lvlJc w:val="left"/>
    </w:lvl>
    <w:lvl w:ilvl="3" w:tplc="BA3C36C8">
      <w:numFmt w:val="decimal"/>
      <w:lvlText w:val=""/>
      <w:lvlJc w:val="left"/>
    </w:lvl>
    <w:lvl w:ilvl="4" w:tplc="1D78EBDA">
      <w:numFmt w:val="decimal"/>
      <w:lvlText w:val=""/>
      <w:lvlJc w:val="left"/>
    </w:lvl>
    <w:lvl w:ilvl="5" w:tplc="BCE8ADBA">
      <w:numFmt w:val="decimal"/>
      <w:lvlText w:val=""/>
      <w:lvlJc w:val="left"/>
    </w:lvl>
    <w:lvl w:ilvl="6" w:tplc="2B26C33A">
      <w:numFmt w:val="decimal"/>
      <w:lvlText w:val=""/>
      <w:lvlJc w:val="left"/>
    </w:lvl>
    <w:lvl w:ilvl="7" w:tplc="07243E14">
      <w:numFmt w:val="decimal"/>
      <w:lvlText w:val=""/>
      <w:lvlJc w:val="left"/>
    </w:lvl>
    <w:lvl w:ilvl="8" w:tplc="ED8809DC">
      <w:numFmt w:val="decimal"/>
      <w:lvlText w:val=""/>
      <w:lvlJc w:val="left"/>
    </w:lvl>
  </w:abstractNum>
  <w:num w:numId="1" w16cid:durableId="984159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596"/>
    <w:rsid w:val="001266F5"/>
    <w:rsid w:val="00354D80"/>
    <w:rsid w:val="005E384D"/>
    <w:rsid w:val="00992596"/>
    <w:rsid w:val="0AE4B27F"/>
    <w:rsid w:val="19457440"/>
    <w:rsid w:val="1EBF0DC3"/>
    <w:rsid w:val="35AE2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370AE"/>
  <w15:docId w15:val="{E6516F8D-15E3-4716-835E-DCF65CEA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sz w:val="24"/>
      <w:szCs w:val="24"/>
    </w:rPr>
  </w:style>
  <w:style w:type="paragraph" w:styleId="Heading1">
    <w:name w:val="heading 1"/>
    <w:basedOn w:val="Normal"/>
    <w:next w:val="Normal"/>
    <w:uiPriority w:val="9"/>
    <w:qFormat/>
    <w:pPr>
      <w:spacing w:before="480" w:after="280"/>
      <w:outlineLvl w:val="0"/>
    </w:pPr>
    <w:rPr>
      <w:b/>
      <w:bCs/>
      <w:color w:val="000000"/>
      <w:sz w:val="32"/>
      <w:szCs w:val="32"/>
    </w:rPr>
  </w:style>
  <w:style w:type="paragraph" w:styleId="Heading2">
    <w:name w:val="heading 2"/>
    <w:basedOn w:val="Normal"/>
    <w:next w:val="Normal"/>
    <w:uiPriority w:val="9"/>
    <w:semiHidden/>
    <w:unhideWhenUsed/>
    <w:qFormat/>
    <w:pPr>
      <w:spacing w:before="400"/>
      <w:outlineLvl w:val="1"/>
    </w:pPr>
    <w:rPr>
      <w:b/>
      <w:bCs/>
      <w:color w:val="000000"/>
      <w:sz w:val="28"/>
      <w:szCs w:val="28"/>
    </w:rPr>
  </w:style>
  <w:style w:type="paragraph" w:styleId="Heading3">
    <w:name w:val="heading 3"/>
    <w:basedOn w:val="Normal"/>
    <w:next w:val="Normal"/>
    <w:uiPriority w:val="9"/>
    <w:semiHidden/>
    <w:unhideWhenUsed/>
    <w:qFormat/>
    <w:pPr>
      <w:spacing w:before="320" w:after="160"/>
      <w:outlineLvl w:val="2"/>
    </w:pPr>
    <w:rPr>
      <w:b/>
      <w:bCs/>
      <w:color w:val="000000"/>
      <w:sz w:val="26"/>
      <w:szCs w:val="26"/>
    </w:rPr>
  </w:style>
  <w:style w:type="paragraph" w:styleId="Heading4">
    <w:name w:val="heading 4"/>
    <w:basedOn w:val="Normal"/>
    <w:next w:val="Normal"/>
    <w:uiPriority w:val="9"/>
    <w:semiHidden/>
    <w:unhideWhenUsed/>
    <w:qFormat/>
    <w:pPr>
      <w:spacing w:before="280" w:after="120"/>
      <w:outlineLvl w:val="3"/>
    </w:pPr>
    <w:rPr>
      <w:b/>
      <w:bCs/>
      <w:color w:val="000000"/>
    </w:rPr>
  </w:style>
  <w:style w:type="paragraph" w:styleId="Heading5">
    <w:name w:val="heading 5"/>
    <w:basedOn w:val="Normal"/>
    <w:next w:val="Normal"/>
    <w:uiPriority w:val="9"/>
    <w:semiHidden/>
    <w:unhideWhenUsed/>
    <w:qFormat/>
    <w:pPr>
      <w:spacing w:before="240" w:after="100"/>
      <w:outlineLvl w:val="4"/>
    </w:pPr>
    <w:rPr>
      <w:b/>
      <w:bCs/>
      <w:i/>
      <w:iCs/>
      <w:color w:val="000000"/>
    </w:rPr>
  </w:style>
  <w:style w:type="paragraph" w:styleId="Heading6">
    <w:name w:val="heading 6"/>
    <w:basedOn w:val="Normal"/>
    <w:next w:val="Normal"/>
    <w:uiPriority w:val="9"/>
    <w:semiHidden/>
    <w:unhideWhenUsed/>
    <w:qFormat/>
    <w:pPr>
      <w:spacing w:before="200" w:after="80"/>
      <w:outlineLvl w:val="5"/>
    </w:pPr>
    <w:rPr>
      <w:b/>
      <w:bCs/>
      <w:i/>
      <w:iCs/>
      <w:color w:val="000000"/>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yperlink" Target="https://pregnancyregistry.madrigalpharma.com" TargetMode="External" Id="R280aad31a4fc499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A32EB3-EB46-4F92-8055-9FD157959D87}"/>
</file>

<file path=customXml/itemProps2.xml><?xml version="1.0" encoding="utf-8"?>
<ds:datastoreItem xmlns:ds="http://schemas.openxmlformats.org/officeDocument/2006/customXml" ds:itemID="{FA5C2655-CDD2-4670-B4E9-AEE1082D8F94}"/>
</file>

<file path=customXml/itemProps3.xml><?xml version="1.0" encoding="utf-8"?>
<ds:datastoreItem xmlns:ds="http://schemas.openxmlformats.org/officeDocument/2006/customXml" ds:itemID="{5695D2D5-8591-47CD-84C8-95FD8106BF9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alyssa.oakes@ttuhsc.edu</cp:lastModifiedBy>
  <cp:revision>4</cp:revision>
  <dcterms:created xsi:type="dcterms:W3CDTF">2026-06-15T18:02:00Z</dcterms:created>
  <dcterms:modified xsi:type="dcterms:W3CDTF">2026-06-16T18:57:26Z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