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465C" w14:textId="77777777" w:rsidR="0083589F" w:rsidRDefault="00000000">
      <w:pPr>
        <w:pStyle w:val="Heading1"/>
      </w:pPr>
      <w:r>
        <w:t xml:space="preserve">Week 6 Assignment: New Drug Review — </w:t>
      </w:r>
      <w:proofErr w:type="spellStart"/>
      <w:r>
        <w:t>Resmetirom</w:t>
      </w:r>
      <w:proofErr w:type="spellEnd"/>
      <w:r>
        <w:t xml:space="preserve"> (</w:t>
      </w:r>
      <w:proofErr w:type="spellStart"/>
      <w:r>
        <w:t>Rezdiffra</w:t>
      </w:r>
      <w:proofErr w:type="spellEnd"/>
      <w:r>
        <w:t>®) in MASH</w:t>
      </w:r>
    </w:p>
    <w:p w14:paraId="3C6B26EA" w14:textId="77777777" w:rsidR="0083589F" w:rsidRDefault="00000000">
      <w:r>
        <w:rPr>
          <w:b/>
          <w:bCs/>
        </w:rPr>
        <w:t>Virtual Ambulatory Care Simulation (VACS)</w:t>
      </w:r>
    </w:p>
    <w:p w14:paraId="75C0C3A2" w14:textId="77777777" w:rsidR="0083589F" w:rsidRDefault="00000000">
      <w:r>
        <w:rPr>
          <w:b/>
          <w:bCs/>
        </w:rPr>
        <w:t>Week 6 — Capstone Assignment</w:t>
      </w:r>
    </w:p>
    <w:p w14:paraId="7F1E1BE1" w14:textId="77777777" w:rsidR="0083589F" w:rsidRDefault="00000000">
      <w:r>
        <w:t>---</w:t>
      </w:r>
    </w:p>
    <w:p w14:paraId="412074A9" w14:textId="77777777" w:rsidR="0083589F" w:rsidRDefault="00000000">
      <w:r>
        <w:rPr>
          <w:b/>
          <w:bCs/>
        </w:rPr>
        <w:t>Assignment Overview</w:t>
      </w:r>
    </w:p>
    <w:p w14:paraId="15283CDB" w14:textId="77777777" w:rsidR="0083589F" w:rsidRDefault="00000000">
      <w:r>
        <w:t xml:space="preserve">This capstone assignment is a grand rounds-style new drug review on </w:t>
      </w:r>
      <w:proofErr w:type="spellStart"/>
      <w:r>
        <w:t>resmetirom</w:t>
      </w:r>
      <w:proofErr w:type="spellEnd"/>
      <w:r>
        <w:t xml:space="preserve"> (</w:t>
      </w:r>
      <w:proofErr w:type="spellStart"/>
      <w:r>
        <w:t>Rezdiffra</w:t>
      </w:r>
      <w:proofErr w:type="spellEnd"/>
      <w:r>
        <w:t xml:space="preserve">®), the first FDA-approved pharmacotherapy for metabolic dysfunction-associated steatohepatitis (MASH). The final deliverable is a written manuscript formatted as a comprehensive drug monograph suitable for presentation at a </w:t>
      </w:r>
      <w:proofErr w:type="gramStart"/>
      <w:r>
        <w:t>pharmacy department grand rounds</w:t>
      </w:r>
      <w:proofErr w:type="gramEnd"/>
      <w:r>
        <w:t xml:space="preserve"> — the type of continuing education presentation delivered to pharmacy students, pharmacists, and faculty.</w:t>
      </w:r>
    </w:p>
    <w:p w14:paraId="43B35FA5" w14:textId="77777777" w:rsidR="0083589F" w:rsidRDefault="00000000">
      <w:r>
        <w:t>This assignment will be the sole focus of Week 6 (the final week of the rotation). Upon submission, preceptor feedback will be provided based on the completeness, accuracy, and clinical reasoning demonstrated in the manuscript.</w:t>
      </w:r>
    </w:p>
    <w:p w14:paraId="53691EB9" w14:textId="77777777" w:rsidR="0083589F" w:rsidRDefault="00000000">
      <w:r>
        <w:t>---</w:t>
      </w:r>
    </w:p>
    <w:p w14:paraId="02CC7AA0" w14:textId="77777777" w:rsidR="0083589F" w:rsidRDefault="00000000">
      <w:r>
        <w:rPr>
          <w:b/>
          <w:bCs/>
        </w:rPr>
        <w:t>Deliverable</w:t>
      </w:r>
    </w:p>
    <w:p w14:paraId="7988F050" w14:textId="77777777" w:rsidR="0083589F" w:rsidRDefault="00000000">
      <w:r>
        <w:t xml:space="preserve">One Microsoft Word </w:t>
      </w:r>
      <w:proofErr w:type="gramStart"/>
      <w:r>
        <w:t>document (.</w:t>
      </w:r>
      <w:proofErr w:type="gramEnd"/>
      <w:r>
        <w:t xml:space="preserve">docx) containing the </w:t>
      </w:r>
      <w:proofErr w:type="gramStart"/>
      <w:r>
        <w:t>complete</w:t>
      </w:r>
      <w:proofErr w:type="gramEnd"/>
      <w:r>
        <w:t xml:space="preserve"> new drug review manuscript. Upload the final document to the VACS site by the end of Week 6.</w:t>
      </w:r>
    </w:p>
    <w:p w14:paraId="15782301" w14:textId="77777777" w:rsidR="0083589F" w:rsidRDefault="00000000">
      <w:r>
        <w:t>---</w:t>
      </w:r>
    </w:p>
    <w:p w14:paraId="3CE3A42C" w14:textId="77777777" w:rsidR="0083589F" w:rsidRDefault="00000000">
      <w:r>
        <w:rPr>
          <w:b/>
          <w:bCs/>
        </w:rPr>
        <w:t>Formatting Requirements</w:t>
      </w:r>
    </w:p>
    <w:p w14:paraId="041DF86A" w14:textId="77777777" w:rsidR="0083589F" w:rsidRDefault="00000000">
      <w:r>
        <w:t>- Font: Arial, 11-point</w:t>
      </w:r>
    </w:p>
    <w:p w14:paraId="0CCFB87A" w14:textId="77777777" w:rsidR="0083589F" w:rsidRDefault="00000000">
      <w:r>
        <w:t>- Spacing: Single-spaced</w:t>
      </w:r>
    </w:p>
    <w:p w14:paraId="17E4DC1E" w14:textId="77777777" w:rsidR="0083589F" w:rsidRDefault="00000000">
      <w:r>
        <w:t>- Margins: 1 inch on all sides</w:t>
      </w:r>
    </w:p>
    <w:p w14:paraId="41DD1C6D" w14:textId="77777777" w:rsidR="0083589F" w:rsidRDefault="00000000">
      <w:r>
        <w:t>- Citation style: AMA (American Medical Association) format — numbered superscript citations in the order they appear in the text</w:t>
      </w:r>
    </w:p>
    <w:p w14:paraId="5A985DE8" w14:textId="77777777" w:rsidR="0083589F" w:rsidRDefault="00000000">
      <w:r>
        <w:t>- A references page must be included at the end of the document</w:t>
      </w:r>
    </w:p>
    <w:p w14:paraId="22578518" w14:textId="77777777" w:rsidR="0083589F" w:rsidRDefault="00000000">
      <w:r>
        <w:t>- No page limit — the manuscript should be as thorough as needed to cover all required sections at a depth appropriate for a 45- to 60-minute grand rounds presentation</w:t>
      </w:r>
    </w:p>
    <w:p w14:paraId="1299AE35" w14:textId="77777777" w:rsidR="0083589F" w:rsidRDefault="00000000">
      <w:r>
        <w:lastRenderedPageBreak/>
        <w:t>- Tables and figures may be included where they enhance clarity (e.g., trial results summary tables, comparison charts, monitoring parameter tables)</w:t>
      </w:r>
    </w:p>
    <w:p w14:paraId="2CBCDB7B" w14:textId="77777777" w:rsidR="0083589F" w:rsidRDefault="00000000">
      <w:r>
        <w:t>---</w:t>
      </w:r>
    </w:p>
    <w:p w14:paraId="643CC84F" w14:textId="77777777" w:rsidR="0083589F" w:rsidRDefault="00000000">
      <w:r>
        <w:rPr>
          <w:b/>
          <w:bCs/>
        </w:rPr>
        <w:t>Audience</w:t>
      </w:r>
    </w:p>
    <w:p w14:paraId="0ADD7B9C" w14:textId="77777777" w:rsidR="0083589F" w:rsidRDefault="00000000">
      <w:r>
        <w:t xml:space="preserve">Write this manuscript as though it will be presented at a </w:t>
      </w:r>
      <w:proofErr w:type="gramStart"/>
      <w:r>
        <w:t>pharmacy department grand rounds</w:t>
      </w:r>
      <w:proofErr w:type="gramEnd"/>
      <w:r>
        <w:t xml:space="preserve"> to an audience of pharmacy students, clinical pharmacists, and pharmacy faculty. The tone should be professional, evidence-based, and educational — </w:t>
      </w:r>
      <w:proofErr w:type="gramStart"/>
      <w:r>
        <w:t>similar to</w:t>
      </w:r>
      <w:proofErr w:type="gramEnd"/>
      <w:r>
        <w:t xml:space="preserve"> a continuing education presentation. Assume the audience has a general pharmacy knowledge base but no specialized expertise in hepatology or MASH.</w:t>
      </w:r>
    </w:p>
    <w:p w14:paraId="6DDBBB47" w14:textId="77777777" w:rsidR="0083589F" w:rsidRDefault="00000000">
      <w:r>
        <w:t>---</w:t>
      </w:r>
    </w:p>
    <w:p w14:paraId="21AC880F" w14:textId="77777777" w:rsidR="0083589F" w:rsidRDefault="00000000">
      <w:r>
        <w:rPr>
          <w:b/>
          <w:bCs/>
        </w:rPr>
        <w:t>Required Articles</w:t>
      </w:r>
    </w:p>
    <w:p w14:paraId="72EC6543" w14:textId="77777777" w:rsidR="0083589F" w:rsidRDefault="00000000">
      <w:r>
        <w:t>The following three articles must be incorporated into the manuscript. Each article should be meaningfully discussed — not merely cited in passing.</w:t>
      </w:r>
    </w:p>
    <w:p w14:paraId="71F5B5EB" w14:textId="77777777" w:rsidR="0083589F" w:rsidRDefault="00000000">
      <w:r>
        <w:t xml:space="preserve">1. </w:t>
      </w:r>
      <w:r>
        <w:rPr>
          <w:b/>
          <w:bCs/>
        </w:rPr>
        <w:t>MAESTRO-NASH Trial (Pivotal Efficacy Trial)</w:t>
      </w:r>
    </w:p>
    <w:p w14:paraId="7A50FEDD" w14:textId="77777777" w:rsidR="0083589F" w:rsidRDefault="00000000">
      <w:r>
        <w:t xml:space="preserve">   Harrison SA, </w:t>
      </w:r>
      <w:proofErr w:type="spellStart"/>
      <w:r>
        <w:t>Bedossa</w:t>
      </w:r>
      <w:proofErr w:type="spellEnd"/>
      <w:r>
        <w:t xml:space="preserve"> P, Guy CD, et al. A Phase 3, Randomized, Controlled Trial of </w:t>
      </w:r>
      <w:proofErr w:type="spellStart"/>
      <w:r>
        <w:t>Resmetirom</w:t>
      </w:r>
      <w:proofErr w:type="spellEnd"/>
      <w:r>
        <w:t xml:space="preserve"> in NASH with Liver Fibrosis. </w:t>
      </w:r>
      <w:r>
        <w:rPr>
          <w:i/>
          <w:iCs/>
        </w:rPr>
        <w:t>N Engl J Med.</w:t>
      </w:r>
      <w:r>
        <w:t xml:space="preserve"> 2024;390(6):497-509.</w:t>
      </w:r>
    </w:p>
    <w:p w14:paraId="104E664A" w14:textId="77777777" w:rsidR="0083589F" w:rsidRDefault="00000000">
      <w:r>
        <w:t>Link: https://www.nejm.org/doi/full/10.1056/NEJMoa2309000</w:t>
      </w:r>
    </w:p>
    <w:p w14:paraId="2AB6DE0E" w14:textId="77777777" w:rsidR="0083589F" w:rsidRDefault="00000000">
      <w:r>
        <w:t xml:space="preserve">2. </w:t>
      </w:r>
      <w:r>
        <w:rPr>
          <w:b/>
          <w:bCs/>
        </w:rPr>
        <w:t>MAESTRO-NAFLD-1 Trial (Safety and Biomarker Trial)</w:t>
      </w:r>
    </w:p>
    <w:p w14:paraId="44718944" w14:textId="77777777" w:rsidR="0083589F" w:rsidRDefault="00000000">
      <w:r>
        <w:t xml:space="preserve">   Harrison SA, Taub R, Neff GW, et al. </w:t>
      </w:r>
      <w:proofErr w:type="spellStart"/>
      <w:r>
        <w:t>Resmetirom</w:t>
      </w:r>
      <w:proofErr w:type="spellEnd"/>
      <w:r>
        <w:t xml:space="preserve"> for Nonalcoholic Fatty Liver Disease: A Randomized, Double-Blind, Placebo-Controlled Phase 3 Trial. </w:t>
      </w:r>
      <w:r>
        <w:rPr>
          <w:i/>
          <w:iCs/>
        </w:rPr>
        <w:t>Nat Med.</w:t>
      </w:r>
      <w:r>
        <w:t xml:space="preserve"> 2023;29(11):2919-2928.</w:t>
      </w:r>
    </w:p>
    <w:p w14:paraId="52ABC8CC" w14:textId="77777777" w:rsidR="0083589F" w:rsidRDefault="00000000">
      <w:r>
        <w:t>Link: https://www.nature.com/articles/s41591-023-02603-1</w:t>
      </w:r>
    </w:p>
    <w:p w14:paraId="234324CF" w14:textId="77777777" w:rsidR="0083589F" w:rsidRDefault="00000000">
      <w:r>
        <w:t xml:space="preserve">3. </w:t>
      </w:r>
      <w:r>
        <w:rPr>
          <w:b/>
          <w:bCs/>
        </w:rPr>
        <w:t>AASLD Practice Guidance (Clinical Implementation)</w:t>
      </w:r>
    </w:p>
    <w:p w14:paraId="61E7E5D9" w14:textId="77777777" w:rsidR="0083589F" w:rsidRDefault="00000000">
      <w:r>
        <w:t xml:space="preserve">   Chen VL, Morgan TR, Rotman Y, et al. </w:t>
      </w:r>
      <w:proofErr w:type="spellStart"/>
      <w:r>
        <w:t>Resmetirom</w:t>
      </w:r>
      <w:proofErr w:type="spellEnd"/>
      <w:r>
        <w:t xml:space="preserve"> Therapy for Metabolic Dysfunction-Associated </w:t>
      </w:r>
      <w:proofErr w:type="spellStart"/>
      <w:r>
        <w:t>Steatotic</w:t>
      </w:r>
      <w:proofErr w:type="spellEnd"/>
      <w:r>
        <w:t xml:space="preserve"> Liver Disease: October 2024 Updates to AASLD Practice Guidance. </w:t>
      </w:r>
      <w:r>
        <w:rPr>
          <w:i/>
          <w:iCs/>
        </w:rPr>
        <w:t>Hepatology.</w:t>
      </w:r>
      <w:r>
        <w:t xml:space="preserve"> 2025;81(5):1774-1786.</w:t>
      </w:r>
    </w:p>
    <w:p w14:paraId="1869AF12" w14:textId="77777777" w:rsidR="0083589F" w:rsidRDefault="00000000">
      <w:r>
        <w:t xml:space="preserve">   Link: https://journals.lww.com/hep/fulltext/2025/05000/resmetirom</w:t>
      </w:r>
      <w:r>
        <w:rPr>
          <w:i/>
          <w:iCs/>
        </w:rPr>
        <w:t>therapy</w:t>
      </w:r>
      <w:r>
        <w:t>for</w:t>
      </w:r>
      <w:r>
        <w:rPr>
          <w:i/>
          <w:iCs/>
        </w:rPr>
        <w:t>metabolic.30.aspx</w:t>
      </w:r>
    </w:p>
    <w:p w14:paraId="296DF4F8" w14:textId="77777777" w:rsidR="0083589F" w:rsidRDefault="00000000">
      <w:r>
        <w:t>Additional sources beyond these three (e.g., the FDA-approved prescribing label, review articles, UpToDate, other primary literature) are encouraged but not required.</w:t>
      </w:r>
    </w:p>
    <w:p w14:paraId="7A5BA71B" w14:textId="77777777" w:rsidR="0083589F" w:rsidRDefault="00000000">
      <w:r>
        <w:t>---</w:t>
      </w:r>
    </w:p>
    <w:p w14:paraId="2926AEEC" w14:textId="77777777" w:rsidR="0083589F" w:rsidRDefault="00000000">
      <w:r>
        <w:rPr>
          <w:b/>
          <w:bCs/>
        </w:rPr>
        <w:t>Required Sections</w:t>
      </w:r>
    </w:p>
    <w:p w14:paraId="4C114DCE" w14:textId="77777777" w:rsidR="0083589F" w:rsidRDefault="00000000">
      <w:r>
        <w:lastRenderedPageBreak/>
        <w:t xml:space="preserve">The manuscript must include </w:t>
      </w:r>
      <w:proofErr w:type="gramStart"/>
      <w:r>
        <w:t>all of</w:t>
      </w:r>
      <w:proofErr w:type="gramEnd"/>
      <w:r>
        <w:t xml:space="preserve"> the following sections. A brief description of expectations for each section is provided below.</w:t>
      </w:r>
    </w:p>
    <w:p w14:paraId="4EE2A8E8" w14:textId="77777777" w:rsidR="0083589F" w:rsidRDefault="00000000">
      <w:r>
        <w:rPr>
          <w:b/>
          <w:bCs/>
        </w:rPr>
        <w:t>1. Disease State Background</w:t>
      </w:r>
    </w:p>
    <w:p w14:paraId="6876BAA6" w14:textId="77777777" w:rsidR="0083589F" w:rsidRDefault="00000000">
      <w:r>
        <w:t xml:space="preserve">Provide an overview of MASLD/MASH including current nomenclature, epidemiology, disease burden, natural history and progression (fibrosis, cirrhosis, hepatocellular carcinoma), pathophysiology, and the treatment landscape prior to </w:t>
      </w:r>
      <w:proofErr w:type="spellStart"/>
      <w:r>
        <w:t>resmetirom's</w:t>
      </w:r>
      <w:proofErr w:type="spellEnd"/>
      <w:r>
        <w:t xml:space="preserve"> approval. Establish the unmet clinical need that </w:t>
      </w:r>
      <w:proofErr w:type="spellStart"/>
      <w:r>
        <w:t>resmetirom</w:t>
      </w:r>
      <w:proofErr w:type="spellEnd"/>
      <w:r>
        <w:t xml:space="preserve"> addresses. Connect the underlying disease biology to the drug's mechanism of action.</w:t>
      </w:r>
    </w:p>
    <w:p w14:paraId="2DE36180" w14:textId="77777777" w:rsidR="0083589F" w:rsidRDefault="00000000">
      <w:r>
        <w:rPr>
          <w:b/>
          <w:bCs/>
        </w:rPr>
        <w:t>2. Pharmacology</w:t>
      </w:r>
    </w:p>
    <w:p w14:paraId="07203442" w14:textId="77777777" w:rsidR="0083589F" w:rsidRDefault="00000000">
      <w:r>
        <w:t xml:space="preserve">Describe </w:t>
      </w:r>
      <w:proofErr w:type="spellStart"/>
      <w:r>
        <w:t>resmetirom's</w:t>
      </w:r>
      <w:proofErr w:type="spellEnd"/>
      <w:r>
        <w:t xml:space="preserve"> mechanism of action, including thyroid hormone receptor selectivity and downstream metabolic effects. Cover clinically relevant pharmacokinetics (absorption, metabolism, distribution). Provide a thorough discussion of drug interactions, including specific medications that are contraindicated, require dose adjustments, or have dose caps when used concomitantly with </w:t>
      </w:r>
      <w:proofErr w:type="spellStart"/>
      <w:r>
        <w:t>resmetirom</w:t>
      </w:r>
      <w:proofErr w:type="spellEnd"/>
      <w:r>
        <w:t>.</w:t>
      </w:r>
    </w:p>
    <w:p w14:paraId="798189C3" w14:textId="77777777" w:rsidR="0083589F" w:rsidRDefault="00000000">
      <w:r>
        <w:rPr>
          <w:b/>
          <w:bCs/>
        </w:rPr>
        <w:t>3. Pivotal Efficacy Trial — MAESTRO-NASH</w:t>
      </w:r>
    </w:p>
    <w:p w14:paraId="798EEA1C" w14:textId="77777777" w:rsidR="0083589F" w:rsidRDefault="00000000">
      <w:r>
        <w:t xml:space="preserve">Provide a detailed analysis of the MAESTRO-NASH trial (Harrison et al., </w:t>
      </w:r>
      <w:r>
        <w:rPr>
          <w:i/>
          <w:iCs/>
        </w:rPr>
        <w:t>NEJM</w:t>
      </w:r>
      <w:r>
        <w:t xml:space="preserve"> 2024). This section should include:</w:t>
      </w:r>
    </w:p>
    <w:p w14:paraId="7AB82024" w14:textId="77777777" w:rsidR="0083589F" w:rsidRDefault="00000000">
      <w:r>
        <w:t>- Study design and methods (phase, randomization, blinding, population, inclusion/exclusion criteria)</w:t>
      </w:r>
    </w:p>
    <w:p w14:paraId="04B5FB8B" w14:textId="77777777" w:rsidR="0083589F" w:rsidRDefault="00000000">
      <w:r>
        <w:t>- Primary and key secondary endpoints with definitions</w:t>
      </w:r>
    </w:p>
    <w:p w14:paraId="547FBDB7" w14:textId="77777777" w:rsidR="0083589F" w:rsidRDefault="00000000">
      <w:r>
        <w:t>- Efficacy results with specific data</w:t>
      </w:r>
    </w:p>
    <w:p w14:paraId="439DF47D" w14:textId="77777777" w:rsidR="0083589F" w:rsidRDefault="00000000">
      <w:r>
        <w:t>- A critical appraisal discussing the strengths and limitations of the trial, including the regulatory context (accelerated approval, surrogate endpoints), generalizability, and any notable features of the results</w:t>
      </w:r>
    </w:p>
    <w:p w14:paraId="1DB9458A" w14:textId="77777777" w:rsidR="0083589F" w:rsidRDefault="00000000">
      <w:r>
        <w:t>This is the most important section of the manuscript. A strong critical appraisal goes beyond listing limitations — it interprets how each limitation affects the clinical interpretation of the results.</w:t>
      </w:r>
    </w:p>
    <w:p w14:paraId="67AD88B6" w14:textId="77777777" w:rsidR="0083589F" w:rsidRDefault="00000000">
      <w:r>
        <w:rPr>
          <w:b/>
          <w:bCs/>
        </w:rPr>
        <w:t>4. Safety Trial — MAESTRO-NAFLD-1</w:t>
      </w:r>
    </w:p>
    <w:p w14:paraId="07629632" w14:textId="77777777" w:rsidR="0083589F" w:rsidRDefault="00000000">
      <w:r>
        <w:t xml:space="preserve">Provide a detailed analysis of the MAESTRO-NAFLD-1 trial (Harrison et al., </w:t>
      </w:r>
      <w:r>
        <w:rPr>
          <w:i/>
          <w:iCs/>
        </w:rPr>
        <w:t>Nat Med</w:t>
      </w:r>
      <w:r>
        <w:t xml:space="preserve"> 2023). This section should include:</w:t>
      </w:r>
    </w:p>
    <w:p w14:paraId="6C28BB1A" w14:textId="77777777" w:rsidR="0083589F" w:rsidRDefault="00000000">
      <w:r>
        <w:t>- Study design and how it differs from MAESTRO-NASH (population, endpoints, purpose)</w:t>
      </w:r>
    </w:p>
    <w:p w14:paraId="719EC476" w14:textId="77777777" w:rsidR="0083589F" w:rsidRDefault="00000000">
      <w:r>
        <w:t>- Safety results including common adverse events, serious adverse events, and notable safety signals</w:t>
      </w:r>
    </w:p>
    <w:p w14:paraId="72E3D1FC" w14:textId="77777777" w:rsidR="0083589F" w:rsidRDefault="00000000">
      <w:r>
        <w:lastRenderedPageBreak/>
        <w:t>- Key secondary efficacy endpoints (imaging and lipid biomarkers) and how they complement the MAESTRO-NASH biopsy data</w:t>
      </w:r>
    </w:p>
    <w:p w14:paraId="28FB98C6" w14:textId="77777777" w:rsidR="0083589F" w:rsidRDefault="00000000">
      <w:r>
        <w:rPr>
          <w:b/>
          <w:bCs/>
        </w:rPr>
        <w:t>5. Clinical Implementation — AASLD Practice Guidance</w:t>
      </w:r>
    </w:p>
    <w:p w14:paraId="5720B0E1" w14:textId="77777777" w:rsidR="0083589F" w:rsidRDefault="00000000">
      <w:r>
        <w:t xml:space="preserve">Summarize the AASLD Practice Guidance (Chen et al., </w:t>
      </w:r>
      <w:r>
        <w:rPr>
          <w:i/>
          <w:iCs/>
        </w:rPr>
        <w:t>Hepatology</w:t>
      </w:r>
      <w:r>
        <w:t xml:space="preserve"> 2025) as it applies to </w:t>
      </w:r>
      <w:proofErr w:type="spellStart"/>
      <w:r>
        <w:t>resmetirom</w:t>
      </w:r>
      <w:proofErr w:type="spellEnd"/>
      <w:r>
        <w:t xml:space="preserve"> use in clinical practice. This section should include:</w:t>
      </w:r>
    </w:p>
    <w:p w14:paraId="1C2E967C" w14:textId="77777777" w:rsidR="0083589F" w:rsidRDefault="00000000">
      <w:r>
        <w:t>- Patient selection and screening (</w:t>
      </w:r>
      <w:proofErr w:type="gramStart"/>
      <w:r>
        <w:t>noninvasive</w:t>
      </w:r>
      <w:proofErr w:type="gramEnd"/>
      <w:r>
        <w:t xml:space="preserve"> testing pathways and thresholds)</w:t>
      </w:r>
    </w:p>
    <w:p w14:paraId="424FD85B" w14:textId="77777777" w:rsidR="0083589F" w:rsidRDefault="00000000">
      <w:r>
        <w:t>- Dosing recommendations and dose adjustments</w:t>
      </w:r>
    </w:p>
    <w:p w14:paraId="0C2BF593" w14:textId="77777777" w:rsidR="0083589F" w:rsidRDefault="00000000">
      <w:r>
        <w:t>- Monitoring parameters and schedule</w:t>
      </w:r>
    </w:p>
    <w:p w14:paraId="0D78CC11" w14:textId="77777777" w:rsidR="0083589F" w:rsidRDefault="00000000">
      <w:r>
        <w:t>- Contraindications and special populations</w:t>
      </w:r>
    </w:p>
    <w:p w14:paraId="6E395C79" w14:textId="77777777" w:rsidR="0083589F" w:rsidRDefault="00000000">
      <w:r>
        <w:rPr>
          <w:b/>
          <w:bCs/>
        </w:rPr>
        <w:t>6. Place in Therapy and Formulary Recommendation</w:t>
      </w:r>
    </w:p>
    <w:p w14:paraId="299D85EB" w14:textId="77777777" w:rsidR="0083589F" w:rsidRDefault="00000000">
      <w:r>
        <w:t xml:space="preserve">Position </w:t>
      </w:r>
      <w:proofErr w:type="spellStart"/>
      <w:r>
        <w:t>resmetirom</w:t>
      </w:r>
      <w:proofErr w:type="spellEnd"/>
      <w:r>
        <w:t xml:space="preserve"> relative to existing management strategies (lifestyle modification, off-label pharmacotherapy). Discuss cost and access considerations. Provide a clear, evidence-based formulary recommendation with specific criteria for use, as though presenting to a pharmacy and therapeutics (P&amp;T) committee.</w:t>
      </w:r>
    </w:p>
    <w:p w14:paraId="1B275ADF" w14:textId="77777777" w:rsidR="0083589F" w:rsidRDefault="00000000">
      <w:r>
        <w:rPr>
          <w:b/>
          <w:bCs/>
        </w:rPr>
        <w:t>7. Patient Counseling and Ambulatory Care Pharmacy Application</w:t>
      </w:r>
    </w:p>
    <w:p w14:paraId="4FD5CFF6" w14:textId="77777777" w:rsidR="0083589F" w:rsidRDefault="00000000">
      <w:r>
        <w:t xml:space="preserve">Outline key patient counseling points a pharmacist should cover when initiating </w:t>
      </w:r>
      <w:proofErr w:type="spellStart"/>
      <w:r>
        <w:t>resmetirom</w:t>
      </w:r>
      <w:proofErr w:type="spellEnd"/>
      <w:r>
        <w:t xml:space="preserve">. Describe the role of the ambulatory care pharmacist in MASH management — </w:t>
      </w:r>
      <w:proofErr w:type="gramStart"/>
      <w:r>
        <w:t>from screening and identification of eligible patients,</w:t>
      </w:r>
      <w:proofErr w:type="gramEnd"/>
      <w:r>
        <w:t xml:space="preserve"> to medication reconciliation, monitoring, and collaborative care.</w:t>
      </w:r>
    </w:p>
    <w:p w14:paraId="5897FDFC" w14:textId="77777777" w:rsidR="0083589F" w:rsidRDefault="00000000">
      <w:r>
        <w:t>---</w:t>
      </w:r>
    </w:p>
    <w:p w14:paraId="59F7A2C8" w14:textId="77777777" w:rsidR="0083589F" w:rsidRDefault="00000000">
      <w:r>
        <w:rPr>
          <w:b/>
          <w:bCs/>
        </w:rPr>
        <w:t xml:space="preserve">Tips for </w:t>
      </w:r>
      <w:proofErr w:type="gramStart"/>
      <w:r>
        <w:rPr>
          <w:b/>
          <w:bCs/>
        </w:rPr>
        <w:t>a Strong</w:t>
      </w:r>
      <w:proofErr w:type="gramEnd"/>
      <w:r>
        <w:rPr>
          <w:b/>
          <w:bCs/>
        </w:rPr>
        <w:t xml:space="preserve"> Submission</w:t>
      </w:r>
    </w:p>
    <w:p w14:paraId="0C2CC4A0" w14:textId="77777777" w:rsidR="0083589F" w:rsidRDefault="00000000">
      <w:r>
        <w:t xml:space="preserve">- </w:t>
      </w:r>
      <w:r>
        <w:rPr>
          <w:b/>
          <w:bCs/>
        </w:rPr>
        <w:t>Lead with clinical relevance.</w:t>
      </w:r>
      <w:r>
        <w:t xml:space="preserve"> A grand rounds audience wants to know why this drug matters before diving into the data. Frame the disease state and unmet need in a way that captures attention.</w:t>
      </w:r>
    </w:p>
    <w:p w14:paraId="2C7FEC2B" w14:textId="77777777" w:rsidR="0083589F" w:rsidRDefault="00000000">
      <w:r>
        <w:t xml:space="preserve">- </w:t>
      </w:r>
      <w:r>
        <w:rPr>
          <w:b/>
          <w:bCs/>
        </w:rPr>
        <w:t>Be specific with data.</w:t>
      </w:r>
      <w:r>
        <w:t xml:space="preserve"> Report exact efficacy and safety numbers from the trials. Approximate or vague descriptions of results (e.g., "the drug was effective") do not demonstrate mastery of the evidence.</w:t>
      </w:r>
    </w:p>
    <w:p w14:paraId="4293F062" w14:textId="77777777" w:rsidR="0083589F" w:rsidRDefault="00000000">
      <w:r>
        <w:t xml:space="preserve">- </w:t>
      </w:r>
      <w:r>
        <w:rPr>
          <w:b/>
          <w:bCs/>
        </w:rPr>
        <w:t>Critical appraisal is what separates good from great.</w:t>
      </w:r>
      <w:r>
        <w:t xml:space="preserve"> Do not simply list study limitations. Explain how each limitation affects the interpretation of the results and what it means for clinical decision-making.</w:t>
      </w:r>
    </w:p>
    <w:p w14:paraId="4079B35F" w14:textId="77777777" w:rsidR="0083589F" w:rsidRDefault="00000000">
      <w:r>
        <w:t xml:space="preserve">- </w:t>
      </w:r>
      <w:r>
        <w:rPr>
          <w:b/>
          <w:bCs/>
        </w:rPr>
        <w:t>Make it actionable.</w:t>
      </w:r>
      <w:r>
        <w:t xml:space="preserve"> The audience should walk away knowing exactly which patients are eligible, </w:t>
      </w:r>
      <w:proofErr w:type="gramStart"/>
      <w:r>
        <w:t>what dose</w:t>
      </w:r>
      <w:proofErr w:type="gramEnd"/>
      <w:r>
        <w:t xml:space="preserve"> to use, what to monitor, what drug interactions to watch for, and what to tell the patient. Tables summarizing these practical details are highly effective.</w:t>
      </w:r>
    </w:p>
    <w:p w14:paraId="17E32033" w14:textId="77777777" w:rsidR="0083589F" w:rsidRDefault="00000000">
      <w:r>
        <w:lastRenderedPageBreak/>
        <w:t xml:space="preserve">- </w:t>
      </w:r>
      <w:r>
        <w:rPr>
          <w:b/>
          <w:bCs/>
        </w:rPr>
        <w:t>Connect the three required articles.</w:t>
      </w:r>
      <w:r>
        <w:t xml:space="preserve"> The strongest manuscripts weave the efficacy data (MAESTRO-NASH), safety data (MAESTRO-NAFLD-1), and clinical guidance (AASLD) into a cohesive narrative rather than treating them as isolated summaries.</w:t>
      </w:r>
    </w:p>
    <w:p w14:paraId="7F571273" w14:textId="77777777" w:rsidR="0083589F" w:rsidRDefault="00000000">
      <w:r>
        <w:t xml:space="preserve">- </w:t>
      </w:r>
      <w:r>
        <w:rPr>
          <w:b/>
          <w:bCs/>
        </w:rPr>
        <w:t>Use AMA citation format consistently.</w:t>
      </w:r>
      <w:r>
        <w:t xml:space="preserve"> Number references in the </w:t>
      </w:r>
      <w:proofErr w:type="gramStart"/>
      <w:r>
        <w:t>order they</w:t>
      </w:r>
      <w:proofErr w:type="gramEnd"/>
      <w:r>
        <w:t xml:space="preserve"> first appear in the text using superscript numerals. The references page should list all sources in numerical order with complete bibliographic information.</w:t>
      </w:r>
    </w:p>
    <w:p w14:paraId="4A6BC262" w14:textId="77777777" w:rsidR="0083589F" w:rsidRDefault="00000000">
      <w:r>
        <w:t>---</w:t>
      </w:r>
    </w:p>
    <w:p w14:paraId="230D0624" w14:textId="77777777" w:rsidR="0083589F" w:rsidRDefault="00000000">
      <w:r>
        <w:rPr>
          <w:b/>
          <w:bCs/>
        </w:rPr>
        <w:t>Submission Instructions</w:t>
      </w:r>
    </w:p>
    <w:p w14:paraId="45B15311" w14:textId="77777777" w:rsidR="0083589F" w:rsidRDefault="00000000">
      <w:r>
        <w:t xml:space="preserve">Upload the completed Word </w:t>
      </w:r>
      <w:proofErr w:type="gramStart"/>
      <w:r>
        <w:t>document (.</w:t>
      </w:r>
      <w:proofErr w:type="gramEnd"/>
      <w:r>
        <w:t>docx) to the VACS site before the end of Week 6. Preceptor feedback will be provided after submission, including section-by-section commentary on strengths, areas for improvement, and any corrections.</w:t>
      </w:r>
    </w:p>
    <w:p w14:paraId="3ECC91A9" w14:textId="77777777" w:rsidR="0083589F" w:rsidRDefault="00000000">
      <w:r>
        <w:t>---</w:t>
      </w:r>
    </w:p>
    <w:p w14:paraId="48FCDC1B" w14:textId="77777777" w:rsidR="0083589F" w:rsidRDefault="00000000">
      <w:r>
        <w:rPr>
          <w:i/>
          <w:iCs/>
        </w:rPr>
        <w:t>Good luck — this is the capstone of your VACS rotation. Approach it as you would a real grand rounds presentation to your pharmacy colleagues.</w:t>
      </w:r>
    </w:p>
    <w:sectPr w:rsidR="0083589F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0AB6"/>
    <w:multiLevelType w:val="hybridMultilevel"/>
    <w:tmpl w:val="242C05A2"/>
    <w:lvl w:ilvl="0" w:tplc="568CC678">
      <w:start w:val="1"/>
      <w:numFmt w:val="decimal"/>
      <w:lvlText w:val="%1."/>
      <w:lvlJc w:val="left"/>
      <w:pPr>
        <w:spacing w:before="0" w:after="0"/>
        <w:ind w:left="720" w:hanging="360"/>
      </w:pPr>
    </w:lvl>
    <w:lvl w:ilvl="1" w:tplc="A0263CCE">
      <w:numFmt w:val="decimal"/>
      <w:lvlText w:val=""/>
      <w:lvlJc w:val="left"/>
    </w:lvl>
    <w:lvl w:ilvl="2" w:tplc="0F92AE8A">
      <w:numFmt w:val="decimal"/>
      <w:lvlText w:val=""/>
      <w:lvlJc w:val="left"/>
    </w:lvl>
    <w:lvl w:ilvl="3" w:tplc="6CEE5370">
      <w:numFmt w:val="decimal"/>
      <w:lvlText w:val=""/>
      <w:lvlJc w:val="left"/>
    </w:lvl>
    <w:lvl w:ilvl="4" w:tplc="833890F2">
      <w:numFmt w:val="decimal"/>
      <w:lvlText w:val=""/>
      <w:lvlJc w:val="left"/>
    </w:lvl>
    <w:lvl w:ilvl="5" w:tplc="3FE45898">
      <w:numFmt w:val="decimal"/>
      <w:lvlText w:val=""/>
      <w:lvlJc w:val="left"/>
    </w:lvl>
    <w:lvl w:ilvl="6" w:tplc="5B66C29E">
      <w:numFmt w:val="decimal"/>
      <w:lvlText w:val=""/>
      <w:lvlJc w:val="left"/>
    </w:lvl>
    <w:lvl w:ilvl="7" w:tplc="C35C542C">
      <w:numFmt w:val="decimal"/>
      <w:lvlText w:val=""/>
      <w:lvlJc w:val="left"/>
    </w:lvl>
    <w:lvl w:ilvl="8" w:tplc="8C5654D6">
      <w:numFmt w:val="decimal"/>
      <w:lvlText w:val=""/>
      <w:lvlJc w:val="left"/>
    </w:lvl>
  </w:abstractNum>
  <w:abstractNum w:abstractNumId="1" w15:restartNumberingAfterBreak="0">
    <w:nsid w:val="4AD9326B"/>
    <w:multiLevelType w:val="hybridMultilevel"/>
    <w:tmpl w:val="7B76CB60"/>
    <w:lvl w:ilvl="0" w:tplc="D0BE8CC8">
      <w:start w:val="1"/>
      <w:numFmt w:val="bullet"/>
      <w:lvlText w:val="●"/>
      <w:lvlJc w:val="left"/>
      <w:pPr>
        <w:ind w:left="720" w:hanging="360"/>
      </w:pPr>
    </w:lvl>
    <w:lvl w:ilvl="1" w:tplc="787A7FFE">
      <w:start w:val="1"/>
      <w:numFmt w:val="bullet"/>
      <w:lvlText w:val="○"/>
      <w:lvlJc w:val="left"/>
      <w:pPr>
        <w:ind w:left="1440" w:hanging="360"/>
      </w:pPr>
    </w:lvl>
    <w:lvl w:ilvl="2" w:tplc="BE80ECDE">
      <w:start w:val="1"/>
      <w:numFmt w:val="bullet"/>
      <w:lvlText w:val="■"/>
      <w:lvlJc w:val="left"/>
      <w:pPr>
        <w:ind w:left="2160" w:hanging="360"/>
      </w:pPr>
    </w:lvl>
    <w:lvl w:ilvl="3" w:tplc="BC082798">
      <w:start w:val="1"/>
      <w:numFmt w:val="bullet"/>
      <w:lvlText w:val="●"/>
      <w:lvlJc w:val="left"/>
      <w:pPr>
        <w:ind w:left="2880" w:hanging="360"/>
      </w:pPr>
    </w:lvl>
    <w:lvl w:ilvl="4" w:tplc="661A66E6">
      <w:start w:val="1"/>
      <w:numFmt w:val="bullet"/>
      <w:lvlText w:val="○"/>
      <w:lvlJc w:val="left"/>
      <w:pPr>
        <w:ind w:left="3600" w:hanging="360"/>
      </w:pPr>
    </w:lvl>
    <w:lvl w:ilvl="5" w:tplc="DD28D364">
      <w:start w:val="1"/>
      <w:numFmt w:val="bullet"/>
      <w:lvlText w:val="■"/>
      <w:lvlJc w:val="left"/>
      <w:pPr>
        <w:ind w:left="4320" w:hanging="360"/>
      </w:pPr>
    </w:lvl>
    <w:lvl w:ilvl="6" w:tplc="5EF8B4E0">
      <w:start w:val="1"/>
      <w:numFmt w:val="bullet"/>
      <w:lvlText w:val="●"/>
      <w:lvlJc w:val="left"/>
      <w:pPr>
        <w:ind w:left="5040" w:hanging="360"/>
      </w:pPr>
    </w:lvl>
    <w:lvl w:ilvl="7" w:tplc="6E96D8EC">
      <w:start w:val="1"/>
      <w:numFmt w:val="bullet"/>
      <w:lvlText w:val="●"/>
      <w:lvlJc w:val="left"/>
      <w:pPr>
        <w:ind w:left="5760" w:hanging="360"/>
      </w:pPr>
    </w:lvl>
    <w:lvl w:ilvl="8" w:tplc="8CC85594">
      <w:start w:val="1"/>
      <w:numFmt w:val="bullet"/>
      <w:lvlText w:val="●"/>
      <w:lvlJc w:val="left"/>
      <w:pPr>
        <w:ind w:left="6480" w:hanging="360"/>
      </w:pPr>
    </w:lvl>
  </w:abstractNum>
  <w:num w:numId="1" w16cid:durableId="1386027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9F"/>
    <w:rsid w:val="002F750A"/>
    <w:rsid w:val="0083589F"/>
    <w:rsid w:val="009F7C10"/>
    <w:rsid w:val="00D4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A5E9"/>
  <w15:docId w15:val="{EEB025A1-AA71-459B-8D86-BE4C3650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480" w:after="2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4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320" w:after="16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80" w:after="12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100"/>
      <w:outlineLvl w:val="4"/>
    </w:pPr>
    <w:rPr>
      <w:b/>
      <w:bCs/>
      <w:i/>
      <w:i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80"/>
      <w:outlineLvl w:val="5"/>
    </w:pPr>
    <w:rPr>
      <w:b/>
      <w:bCs/>
      <w:i/>
      <w:i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1B05A1-0CBC-45DF-9D06-89BC7CFEBA94}"/>
</file>

<file path=customXml/itemProps2.xml><?xml version="1.0" encoding="utf-8"?>
<ds:datastoreItem xmlns:ds="http://schemas.openxmlformats.org/officeDocument/2006/customXml" ds:itemID="{AA66E43B-1278-4434-9C87-7A627A4F8B31}"/>
</file>

<file path=customXml/itemProps3.xml><?xml version="1.0" encoding="utf-8"?>
<ds:datastoreItem xmlns:ds="http://schemas.openxmlformats.org/officeDocument/2006/customXml" ds:itemID="{473108D3-493C-4688-B5D7-FEB2CD23E6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Oakes</cp:lastModifiedBy>
  <cp:revision>3</cp:revision>
  <dcterms:created xsi:type="dcterms:W3CDTF">2026-06-15T17:57:00Z</dcterms:created>
  <dcterms:modified xsi:type="dcterms:W3CDTF">2026-06-15T17:58:00Z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