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396941" wp14:paraId="4608A30E" wp14:textId="0E81EF7C">
      <w:pPr>
        <w:pStyle w:val="Heading1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Week 1 Hypertension Guideline Teaching Summary</w:t>
      </w:r>
    </w:p>
    <w:p xmlns:wp14="http://schemas.microsoft.com/office/word/2010/wordml" w:rsidP="63396941" wp14:paraId="69248971" wp14:textId="7DDE1826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Core Treatment Goal</w:t>
      </w:r>
    </w:p>
    <w:p xmlns:wp14="http://schemas.microsoft.com/office/word/2010/wordml" wp14:paraId="3A27B2DA" wp14:textId="2E029472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For most adults with hypertension:</w:t>
      </w:r>
    </w:p>
    <w:p xmlns:wp14="http://schemas.microsoft.com/office/word/2010/wordml" wp14:paraId="5BE4AB46" wp14:textId="45AD3A24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BP Goal: &lt;130/80 mmHg</w:t>
      </w:r>
    </w:p>
    <w:p xmlns:wp14="http://schemas.microsoft.com/office/word/2010/wordml" wp14:paraId="0D61DB03" wp14:textId="163AED4D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The 2025 AHA/ACC guideline emphasizes a universal treatment target of &lt;130/80 mmHg for most adult patients.</w:t>
      </w:r>
    </w:p>
    <w:p xmlns:wp14="http://schemas.microsoft.com/office/word/2010/wordml" w:rsidP="63396941" wp14:paraId="151D1DA0" wp14:textId="41A39A65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Blood Pressure Classification</w:t>
      </w:r>
    </w:p>
    <w:p xmlns:wp14="http://schemas.microsoft.com/office/word/2010/wordml" wp14:paraId="73832FC0" wp14:textId="652450E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Normal:</w:t>
      </w:r>
    </w:p>
    <w:p xmlns:wp14="http://schemas.microsoft.com/office/word/2010/wordml" wp14:paraId="67DBBC12" wp14:textId="20A6220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&lt;120/&lt;80 mmHg</w:t>
      </w:r>
    </w:p>
    <w:p xmlns:wp14="http://schemas.microsoft.com/office/word/2010/wordml" wp14:paraId="0B0413CA" wp14:textId="74A2DF93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Elevated:</w:t>
      </w:r>
    </w:p>
    <w:p xmlns:wp14="http://schemas.microsoft.com/office/word/2010/wordml" wp14:paraId="08D2404A" wp14:textId="7FD5D6D7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120–129 and &lt;80 mmHg</w:t>
      </w:r>
    </w:p>
    <w:p xmlns:wp14="http://schemas.microsoft.com/office/word/2010/wordml" wp14:paraId="13035BE2" wp14:textId="022DBDDE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1 Hypertension:</w:t>
      </w:r>
    </w:p>
    <w:p xmlns:wp14="http://schemas.microsoft.com/office/word/2010/wordml" wp14:paraId="0DD882BB" wp14:textId="6774040E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130–139 systolic OR 80–89 diastolic</w:t>
      </w:r>
    </w:p>
    <w:p xmlns:wp14="http://schemas.microsoft.com/office/word/2010/wordml" wp14:paraId="1A74A5BD" wp14:textId="353EF698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2 Hypertension:</w:t>
      </w:r>
    </w:p>
    <w:p xmlns:wp14="http://schemas.microsoft.com/office/word/2010/wordml" wp14:paraId="6B22DC77" wp14:textId="301E9CD4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≥140 systolic OR ≥90 diastolic</w:t>
      </w:r>
    </w:p>
    <w:p xmlns:wp14="http://schemas.microsoft.com/office/word/2010/wordml" w:rsidP="63396941" wp14:paraId="0C870ABF" wp14:textId="6888AD1A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4689616A" wp14:textId="0A20E6A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Students should assess:</w:t>
      </w:r>
    </w:p>
    <w:p xmlns:wp14="http://schemas.microsoft.com/office/word/2010/wordml" w:rsidP="63396941" wp14:paraId="6A72E0BB" wp14:textId="6CD84E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Confirm accurate BP measurement</w:t>
      </w:r>
    </w:p>
    <w:p xmlns:wp14="http://schemas.microsoft.com/office/word/2010/wordml" w:rsidP="63396941" wp14:paraId="23D20042" wp14:textId="1DD7DB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Review home BP readings when available</w:t>
      </w:r>
    </w:p>
    <w:p xmlns:wp14="http://schemas.microsoft.com/office/word/2010/wordml" w:rsidP="63396941" wp14:paraId="286694A9" wp14:textId="447934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Assess ASCVD risk</w:t>
      </w:r>
    </w:p>
    <w:p xmlns:wp14="http://schemas.microsoft.com/office/word/2010/wordml" w:rsidP="63396941" wp14:paraId="45D850AF" wp14:textId="432005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Evaluate for diabetes</w:t>
      </w:r>
    </w:p>
    <w:p xmlns:wp14="http://schemas.microsoft.com/office/word/2010/wordml" w:rsidP="63396941" wp14:paraId="444925EC" wp14:textId="461EAE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Evaluate kidney disease</w:t>
      </w:r>
    </w:p>
    <w:p xmlns:wp14="http://schemas.microsoft.com/office/word/2010/wordml" w:rsidP="63396941" wp14:paraId="28BF1882" wp14:textId="11C92C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Assess lifestyle contributors</w:t>
      </w:r>
    </w:p>
    <w:p xmlns:wp14="http://schemas.microsoft.com/office/word/2010/wordml" w:rsidP="63396941" wp14:paraId="75D3EE0C" wp14:textId="1DCB5B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Review medications that increase BP</w:t>
      </w:r>
    </w:p>
    <w:p xmlns:wp14="http://schemas.microsoft.com/office/word/2010/wordml" wp14:paraId="7E1CDA71" wp14:textId="2FE1B8A5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Baseline labs:</w:t>
      </w:r>
    </w:p>
    <w:p xmlns:wp14="http://schemas.microsoft.com/office/word/2010/wordml" w:rsidP="63396941" wp14:paraId="6917C8C0" wp14:textId="026935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BMP</w:t>
      </w:r>
    </w:p>
    <w:p xmlns:wp14="http://schemas.microsoft.com/office/word/2010/wordml" w:rsidP="63396941" wp14:paraId="371ABA3B" wp14:textId="4B7671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SCr/eGFR</w:t>
      </w:r>
    </w:p>
    <w:p xmlns:wp14="http://schemas.microsoft.com/office/word/2010/wordml" w:rsidP="63396941" wp14:paraId="4ECDD884" wp14:textId="713A21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:rsidP="63396941" wp14:paraId="371853B2" wp14:textId="3EC516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Lipid panel</w:t>
      </w:r>
    </w:p>
    <w:p xmlns:wp14="http://schemas.microsoft.com/office/word/2010/wordml" w:rsidP="63396941" wp14:paraId="0BA8BB91" wp14:textId="42C077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A1c or fasting glucose</w:t>
      </w:r>
    </w:p>
    <w:p xmlns:wp14="http://schemas.microsoft.com/office/word/2010/wordml" w:rsidP="63396941" wp14:paraId="22F86A3E" wp14:textId="6FCA7C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UACR when appropriate</w:t>
      </w:r>
    </w:p>
    <w:p xmlns:wp14="http://schemas.microsoft.com/office/word/2010/wordml" w:rsidP="63396941" wp14:paraId="09CB249E" wp14:textId="707FFD42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First-Line Drug Classes</w:t>
      </w:r>
    </w:p>
    <w:p xmlns:wp14="http://schemas.microsoft.com/office/word/2010/wordml" wp14:paraId="67A94FA6" wp14:textId="2DA44CB0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Preferred agents:</w:t>
      </w:r>
    </w:p>
    <w:p xmlns:wp14="http://schemas.microsoft.com/office/word/2010/wordml" w:rsidP="63396941" wp14:paraId="0B97A99B" wp14:textId="49A451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ACE inhibitors</w:t>
      </w:r>
    </w:p>
    <w:p xmlns:wp14="http://schemas.microsoft.com/office/word/2010/wordml" w:rsidP="63396941" wp14:paraId="0CC4F412" wp14:textId="150371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ARBs</w:t>
      </w:r>
    </w:p>
    <w:p xmlns:wp14="http://schemas.microsoft.com/office/word/2010/wordml" w:rsidP="63396941" wp14:paraId="2090BD44" wp14:textId="343EFB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Thiazide-type diuretics</w:t>
      </w:r>
    </w:p>
    <w:p xmlns:wp14="http://schemas.microsoft.com/office/word/2010/wordml" w:rsidP="63396941" wp14:paraId="2726229A" wp14:textId="646821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Dihydropyridine calcium channel blockers</w:t>
      </w:r>
    </w:p>
    <w:p xmlns:wp14="http://schemas.microsoft.com/office/word/2010/wordml" w:rsidP="63396941" wp14:paraId="084F8D2B" wp14:textId="2CFC7DC8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Monotherapy vs Combination Therapy</w:t>
      </w:r>
    </w:p>
    <w:p xmlns:wp14="http://schemas.microsoft.com/office/word/2010/wordml" wp14:paraId="49AE10C3" wp14:textId="0C6B6B4B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Monotherapy:</w:t>
      </w:r>
    </w:p>
    <w:p xmlns:wp14="http://schemas.microsoft.com/office/word/2010/wordml" w:rsidP="63396941" wp14:paraId="471B9FD3" wp14:textId="406E27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1 hypertension</w:t>
      </w:r>
    </w:p>
    <w:p xmlns:wp14="http://schemas.microsoft.com/office/word/2010/wordml" wp14:paraId="1332F257" wp14:textId="0F99A7B9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Combination Therapy:</w:t>
      </w:r>
    </w:p>
    <w:p xmlns:wp14="http://schemas.microsoft.com/office/word/2010/wordml" w:rsidP="63396941" wp14:paraId="467FA087" wp14:textId="385A33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Stage 2 hypertension</w:t>
      </w:r>
    </w:p>
    <w:p xmlns:wp14="http://schemas.microsoft.com/office/word/2010/wordml" w:rsidP="63396941" wp14:paraId="4F46D30D" wp14:textId="7059AE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BP &gt;20/10 mmHg above goal</w:t>
      </w:r>
    </w:p>
    <w:p xmlns:wp14="http://schemas.microsoft.com/office/word/2010/wordml" wp14:paraId="7214CC48" wp14:textId="52F8ED1F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Single-pill combinations should be preferred when possible.</w:t>
      </w:r>
    </w:p>
    <w:p xmlns:wp14="http://schemas.microsoft.com/office/word/2010/wordml" w:rsidP="63396941" wp14:paraId="41ED97EE" wp14:textId="696B8378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Follow-Up</w:t>
      </w:r>
    </w:p>
    <w:p xmlns:wp14="http://schemas.microsoft.com/office/word/2010/wordml" wp14:paraId="2B15F0CE" wp14:textId="1505420C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Lifestyle only:</w:t>
      </w:r>
    </w:p>
    <w:p xmlns:wp14="http://schemas.microsoft.com/office/word/2010/wordml" wp14:paraId="5C1B6B93" wp14:textId="2163E533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3–6 months</w:t>
      </w:r>
    </w:p>
    <w:p xmlns:wp14="http://schemas.microsoft.com/office/word/2010/wordml" wp14:paraId="2F071385" wp14:textId="2AB1577D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Medication initiation or adjustment:</w:t>
      </w:r>
    </w:p>
    <w:p xmlns:wp14="http://schemas.microsoft.com/office/word/2010/wordml" wp14:paraId="39099720" wp14:textId="34EAC269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Approximately 1 month</w:t>
      </w:r>
    </w:p>
    <w:p xmlns:wp14="http://schemas.microsoft.com/office/word/2010/wordml" w:rsidP="63396941" wp14:paraId="159B90C9" wp14:textId="4D04DF3B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p14:paraId="14D92153" wp14:textId="139132A7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Highest-yield interventions:</w:t>
      </w:r>
    </w:p>
    <w:p xmlns:wp14="http://schemas.microsoft.com/office/word/2010/wordml" w:rsidP="63396941" wp14:paraId="1545BB7E" wp14:textId="6540D8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Weight reduction</w:t>
      </w:r>
    </w:p>
    <w:p xmlns:wp14="http://schemas.microsoft.com/office/word/2010/wordml" w:rsidP="63396941" wp14:paraId="57D7F7D4" wp14:textId="6285F3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DASH diet</w:t>
      </w:r>
    </w:p>
    <w:p xmlns:wp14="http://schemas.microsoft.com/office/word/2010/wordml" w:rsidP="63396941" wp14:paraId="246F2A26" wp14:textId="0606BEB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Sodium restriction</w:t>
      </w:r>
    </w:p>
    <w:p xmlns:wp14="http://schemas.microsoft.com/office/word/2010/wordml" w:rsidP="63396941" wp14:paraId="394F1AA9" wp14:textId="2C5790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Increased physical activity</w:t>
      </w:r>
    </w:p>
    <w:p xmlns:wp14="http://schemas.microsoft.com/office/word/2010/wordml" w:rsidP="63396941" wp14:paraId="29F51C6A" wp14:textId="5D016D3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Reduced alcohol intake</w:t>
      </w:r>
    </w:p>
    <w:p xmlns:wp14="http://schemas.microsoft.com/office/word/2010/wordml" w:rsidP="63396941" wp14:paraId="799F6E66" wp14:textId="53E280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Tobacco cessation</w:t>
      </w:r>
    </w:p>
    <w:p xmlns:wp14="http://schemas.microsoft.com/office/word/2010/wordml" w:rsidP="63396941" wp14:paraId="33F6DE83" wp14:textId="1E0AAAAB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p14:paraId="56A64CD0" wp14:textId="5ED7CCD6"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63396941" wp14:paraId="350F82F7" wp14:textId="5DDAEDE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BP response</w:t>
      </w:r>
    </w:p>
    <w:p xmlns:wp14="http://schemas.microsoft.com/office/word/2010/wordml" w:rsidP="63396941" wp14:paraId="3A92208C" wp14:textId="1DC09E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Renal function</w:t>
      </w:r>
    </w:p>
    <w:p xmlns:wp14="http://schemas.microsoft.com/office/word/2010/wordml" w:rsidP="63396941" wp14:paraId="46BBBF88" wp14:textId="4FA1A78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:rsidP="63396941" wp14:paraId="3B0F4507" wp14:textId="0B8CD4B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Adverse effects</w:t>
      </w:r>
    </w:p>
    <w:p xmlns:wp14="http://schemas.microsoft.com/office/word/2010/wordml" w:rsidP="63396941" wp14:paraId="50DFB377" wp14:textId="3C27DF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Adherence</w:t>
      </w:r>
    </w:p>
    <w:p xmlns:wp14="http://schemas.microsoft.com/office/word/2010/wordml" w:rsidP="63396941" wp14:paraId="6A13B77B" wp14:textId="5237B6A7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Opportunities</w:t>
      </w:r>
    </w:p>
    <w:p xmlns:wp14="http://schemas.microsoft.com/office/word/2010/wordml" w:rsidP="63396941" wp14:paraId="10E7A95E" wp14:textId="4E014C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Medication optimization</w:t>
      </w:r>
    </w:p>
    <w:p xmlns:wp14="http://schemas.microsoft.com/office/word/2010/wordml" w:rsidP="63396941" wp14:paraId="5A1BCE42" wp14:textId="131C39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Home BP monitoring education</w:t>
      </w:r>
    </w:p>
    <w:p xmlns:wp14="http://schemas.microsoft.com/office/word/2010/wordml" w:rsidP="63396941" wp14:paraId="6F3A0E69" wp14:textId="40AD712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Adherence assessment</w:t>
      </w:r>
    </w:p>
    <w:p xmlns:wp14="http://schemas.microsoft.com/office/word/2010/wordml" w:rsidP="63396941" wp14:paraId="34BD4D3B" wp14:textId="5729818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Cost barrier identification</w:t>
      </w:r>
    </w:p>
    <w:p xmlns:wp14="http://schemas.microsoft.com/office/word/2010/wordml" w:rsidP="63396941" wp14:paraId="3CFCBDFA" wp14:textId="5E4543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Medication reconciliation</w:t>
      </w:r>
    </w:p>
    <w:p xmlns:wp14="http://schemas.microsoft.com/office/word/2010/wordml" w:rsidP="63396941" wp14:paraId="52E46F84" wp14:textId="35392B6F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63396941" wp14:paraId="2703D595" wp14:textId="178A867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Treating one elevated reading as definitive hypertension</w:t>
      </w:r>
    </w:p>
    <w:p xmlns:wp14="http://schemas.microsoft.com/office/word/2010/wordml" w:rsidP="63396941" wp14:paraId="671AE9CC" wp14:textId="0149F1F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Failing to review home BP readings</w:t>
      </w:r>
    </w:p>
    <w:p xmlns:wp14="http://schemas.microsoft.com/office/word/2010/wordml" w:rsidP="63396941" wp14:paraId="375859CD" wp14:textId="6331974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Not checking renal function after ACEI/ARB initiation</w:t>
      </w:r>
    </w:p>
    <w:p xmlns:wp14="http://schemas.microsoft.com/office/word/2010/wordml" w:rsidP="63396941" wp14:paraId="70A34AB8" wp14:textId="324685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Ignoring adherence before intensifying therapy</w:t>
      </w:r>
    </w:p>
    <w:p xmlns:wp14="http://schemas.microsoft.com/office/word/2010/wordml" w:rsidP="63396941" wp14:paraId="75119E25" wp14:textId="30BC9D1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Missing secondary causes of hypertension</w:t>
      </w:r>
    </w:p>
    <w:p xmlns:wp14="http://schemas.microsoft.com/office/word/2010/wordml" w:rsidP="63396941" wp14:paraId="68B6E0DB" wp14:textId="4863DDA8">
      <w:pPr>
        <w:pStyle w:val="Heading2"/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Escalation/Referral Considerations</w:t>
      </w:r>
    </w:p>
    <w:p xmlns:wp14="http://schemas.microsoft.com/office/word/2010/wordml" w:rsidP="63396941" wp14:paraId="3D7EBAFD" wp14:textId="5A8E700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Resistant hypertension</w:t>
      </w:r>
    </w:p>
    <w:p xmlns:wp14="http://schemas.microsoft.com/office/word/2010/wordml" w:rsidP="63396941" wp14:paraId="69AF32BF" wp14:textId="372DBC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Suspected secondary hypertension</w:t>
      </w:r>
    </w:p>
    <w:p xmlns:wp14="http://schemas.microsoft.com/office/word/2010/wordml" w:rsidP="63396941" wp14:paraId="532764DC" wp14:textId="5736847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Rapid renal decline</w:t>
      </w:r>
    </w:p>
    <w:p xmlns:wp14="http://schemas.microsoft.com/office/word/2010/wordml" w:rsidP="63396941" wp14:paraId="2B80610A" wp14:textId="2815DAA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Hypertensive urgency/emergency</w:t>
      </w:r>
    </w:p>
    <w:p xmlns:wp14="http://schemas.microsoft.com/office/word/2010/wordml" w:rsidP="63396941" wp14:paraId="5BB1223A" wp14:textId="483F08C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96941" w:rsidR="0E749EFB">
        <w:rPr>
          <w:rFonts w:ascii="Aptos" w:hAnsi="Aptos" w:eastAsia="Aptos" w:cs="Aptos"/>
          <w:noProof w:val="0"/>
          <w:sz w:val="24"/>
          <w:szCs w:val="24"/>
          <w:lang w:val="en-US"/>
        </w:rPr>
        <w:t>Persistent uncontrolled BP despite guideline-directed therapy</w:t>
      </w:r>
    </w:p>
    <w:p xmlns:wp14="http://schemas.microsoft.com/office/word/2010/wordml" wp14:paraId="2C078E63" wp14:textId="1A3AB3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8550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16f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2db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d8a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600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822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bb6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24e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baa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4a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F463F"/>
    <w:rsid w:val="0E749EFB"/>
    <w:rsid w:val="319F463F"/>
    <w:rsid w:val="6339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33B3"/>
  <w15:chartTrackingRefBased/>
  <w15:docId w15:val="{18FE4C71-2F2B-482E-A018-79C05F37E3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a1402088c14d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3F939E-FC47-4885-82DE-EDB68571ECCB}"/>
</file>

<file path=customXml/itemProps2.xml><?xml version="1.0" encoding="utf-8"?>
<ds:datastoreItem xmlns:ds="http://schemas.openxmlformats.org/officeDocument/2006/customXml" ds:itemID="{D7C0FB21-AF18-45B6-A286-8008422CD7FC}"/>
</file>

<file path=customXml/itemProps3.xml><?xml version="1.0" encoding="utf-8"?>
<ds:datastoreItem xmlns:ds="http://schemas.openxmlformats.org/officeDocument/2006/customXml" ds:itemID="{24ED96A9-9DF6-49B6-9826-9DB8683882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2026-06-04T17:06:01.0000000Z</dcterms:created>
  <dcterms:modified xsi:type="dcterms:W3CDTF">2026-06-04T17:06:42.5275016Z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