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DFA4A01" wp14:paraId="7C5D1AA3" wp14:textId="70B89B0F">
      <w:pPr>
        <w:pStyle w:val="Heading1"/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Week 1 Type 2 Diabetes Teaching Summary</w:t>
      </w:r>
    </w:p>
    <w:p xmlns:wp14="http://schemas.microsoft.com/office/word/2010/wordml" w:rsidP="7DFA4A01" wp14:paraId="2966299E" wp14:textId="28E27187">
      <w:pPr>
        <w:pStyle w:val="Heading2"/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Glycemic Goals</w:t>
      </w:r>
    </w:p>
    <w:p xmlns:wp14="http://schemas.microsoft.com/office/word/2010/wordml" wp14:paraId="193195C1" wp14:textId="7AE31703"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General Goal:</w:t>
      </w:r>
    </w:p>
    <w:p xmlns:wp14="http://schemas.microsoft.com/office/word/2010/wordml" wp14:paraId="436B18E4" wp14:textId="34819B72"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A1c &lt;7%</w:t>
      </w:r>
    </w:p>
    <w:p xmlns:wp14="http://schemas.microsoft.com/office/word/2010/wordml" wp14:paraId="7ABCDD9A" wp14:textId="7EABF0E6"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Goals should be individualized based on:</w:t>
      </w:r>
    </w:p>
    <w:p xmlns:wp14="http://schemas.microsoft.com/office/word/2010/wordml" w:rsidP="7DFA4A01" wp14:paraId="40C153C7" wp14:textId="6D055CA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Age</w:t>
      </w:r>
    </w:p>
    <w:p xmlns:wp14="http://schemas.microsoft.com/office/word/2010/wordml" w:rsidP="7DFA4A01" wp14:paraId="45D2ADB5" wp14:textId="19B6CA7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Comorbidities</w:t>
      </w:r>
    </w:p>
    <w:p xmlns:wp14="http://schemas.microsoft.com/office/word/2010/wordml" w:rsidP="7DFA4A01" wp14:paraId="47E4933F" wp14:textId="73EA3F2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Life expectancy</w:t>
      </w:r>
    </w:p>
    <w:p xmlns:wp14="http://schemas.microsoft.com/office/word/2010/wordml" w:rsidP="7DFA4A01" wp14:paraId="3A222558" wp14:textId="630EC36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Hypoglycemia risk</w:t>
      </w:r>
    </w:p>
    <w:p xmlns:wp14="http://schemas.microsoft.com/office/word/2010/wordml" w:rsidP="7DFA4A01" wp14:paraId="52417993" wp14:textId="67FF2F9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Patient preferences</w:t>
      </w:r>
    </w:p>
    <w:p xmlns:wp14="http://schemas.microsoft.com/office/word/2010/wordml" w:rsidP="7DFA4A01" wp14:paraId="49AD1254" wp14:textId="68B6958F">
      <w:pPr>
        <w:pStyle w:val="Heading2"/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Initial Evaluation</w:t>
      </w:r>
    </w:p>
    <w:p xmlns:wp14="http://schemas.microsoft.com/office/word/2010/wordml" wp14:paraId="583C15EB" wp14:textId="0A017F7C"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Assess:</w:t>
      </w:r>
    </w:p>
    <w:p xmlns:wp14="http://schemas.microsoft.com/office/word/2010/wordml" w:rsidP="7DFA4A01" wp14:paraId="6AF140CF" wp14:textId="2C7A89F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A1c</w:t>
      </w:r>
    </w:p>
    <w:p xmlns:wp14="http://schemas.microsoft.com/office/word/2010/wordml" w:rsidP="7DFA4A01" wp14:paraId="6C9D9939" wp14:textId="5AF6F89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eGFR</w:t>
      </w:r>
    </w:p>
    <w:p xmlns:wp14="http://schemas.microsoft.com/office/word/2010/wordml" w:rsidP="7DFA4A01" wp14:paraId="7EDC4686" wp14:textId="45BBAB2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UACR</w:t>
      </w:r>
    </w:p>
    <w:p xmlns:wp14="http://schemas.microsoft.com/office/word/2010/wordml" w:rsidP="7DFA4A01" wp14:paraId="3C705244" wp14:textId="74C7092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Weight/BMI</w:t>
      </w:r>
    </w:p>
    <w:p xmlns:wp14="http://schemas.microsoft.com/office/word/2010/wordml" w:rsidP="7DFA4A01" wp14:paraId="01FB6A3A" wp14:textId="4BEEB15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ASCVD history</w:t>
      </w:r>
    </w:p>
    <w:p xmlns:wp14="http://schemas.microsoft.com/office/word/2010/wordml" w:rsidP="7DFA4A01" wp14:paraId="17D87C7E" wp14:textId="49E4A23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Heart failure history</w:t>
      </w:r>
    </w:p>
    <w:p xmlns:wp14="http://schemas.microsoft.com/office/word/2010/wordml" w:rsidP="7DFA4A01" wp14:paraId="73FF0F76" wp14:textId="0BB844C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CKD status</w:t>
      </w:r>
    </w:p>
    <w:p xmlns:wp14="http://schemas.microsoft.com/office/word/2010/wordml" w:rsidP="7DFA4A01" wp14:paraId="4AB43644" wp14:textId="3A7DAFA9">
      <w:pPr>
        <w:pStyle w:val="Heading2"/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First-Line Therapy</w:t>
      </w:r>
    </w:p>
    <w:p xmlns:wp14="http://schemas.microsoft.com/office/word/2010/wordml" wp14:paraId="37961E96" wp14:textId="6DAAB7F1"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Most patients:</w:t>
      </w:r>
    </w:p>
    <w:p xmlns:wp14="http://schemas.microsoft.com/office/word/2010/wordml" wp14:paraId="68B3F30B" wp14:textId="4117FFA1"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Metformin + lifestyle modification</w:t>
      </w:r>
    </w:p>
    <w:p xmlns:wp14="http://schemas.microsoft.com/office/word/2010/wordml" wp14:paraId="3C27C556" wp14:textId="2DB05A56"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Exceptions occur when:</w:t>
      </w:r>
    </w:p>
    <w:p xmlns:wp14="http://schemas.microsoft.com/office/word/2010/wordml" w:rsidP="7DFA4A01" wp14:paraId="7997DA6E" wp14:textId="2187C67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ASCVD predominates</w:t>
      </w:r>
    </w:p>
    <w:p xmlns:wp14="http://schemas.microsoft.com/office/word/2010/wordml" w:rsidP="7DFA4A01" wp14:paraId="1C5CFF7A" wp14:textId="5960D3C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CKD predominates</w:t>
      </w:r>
    </w:p>
    <w:p xmlns:wp14="http://schemas.microsoft.com/office/word/2010/wordml" w:rsidP="7DFA4A01" wp14:paraId="3E6A3234" wp14:textId="1F3E63B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Heart failure predominates</w:t>
      </w:r>
    </w:p>
    <w:p xmlns:wp14="http://schemas.microsoft.com/office/word/2010/wordml" w:rsidP="7DFA4A01" wp14:paraId="58F6FE88" wp14:textId="45B8713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Significant obesity is present</w:t>
      </w:r>
    </w:p>
    <w:p xmlns:wp14="http://schemas.microsoft.com/office/word/2010/wordml" w:rsidP="7DFA4A01" wp14:paraId="1BCCBABC" wp14:textId="1BA96A71">
      <w:pPr>
        <w:pStyle w:val="Heading2"/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GLP-1 Receptor Agonists</w:t>
      </w:r>
    </w:p>
    <w:p xmlns:wp14="http://schemas.microsoft.com/office/word/2010/wordml" wp14:paraId="477B1716" wp14:textId="1AD03C58"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Benefits:</w:t>
      </w:r>
    </w:p>
    <w:p xmlns:wp14="http://schemas.microsoft.com/office/word/2010/wordml" w:rsidP="7DFA4A01" wp14:paraId="675E8249" wp14:textId="22600E3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Weight loss</w:t>
      </w:r>
    </w:p>
    <w:p xmlns:wp14="http://schemas.microsoft.com/office/word/2010/wordml" w:rsidP="7DFA4A01" wp14:paraId="281B5B71" wp14:textId="6D79890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A1c reduction</w:t>
      </w:r>
    </w:p>
    <w:p xmlns:wp14="http://schemas.microsoft.com/office/word/2010/wordml" w:rsidP="7DFA4A01" wp14:paraId="2440AD52" wp14:textId="66F0E24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ASCVD benefit</w:t>
      </w:r>
    </w:p>
    <w:p xmlns:wp14="http://schemas.microsoft.com/office/word/2010/wordml" wp14:paraId="283D2A60" wp14:textId="00043C07"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7DFA4A01" wp14:paraId="6E6A299E" wp14:textId="7F73F2B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Semaglutide</w:t>
      </w:r>
    </w:p>
    <w:p xmlns:wp14="http://schemas.microsoft.com/office/word/2010/wordml" w:rsidP="7DFA4A01" wp14:paraId="2EAAC7F0" wp14:textId="600D55F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Tirzepatide</w:t>
      </w:r>
    </w:p>
    <w:p xmlns:wp14="http://schemas.microsoft.com/office/word/2010/wordml" w:rsidP="7DFA4A01" wp14:paraId="55A46336" wp14:textId="36182A8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Dulaglutide</w:t>
      </w:r>
    </w:p>
    <w:p xmlns:wp14="http://schemas.microsoft.com/office/word/2010/wordml" w:rsidP="7DFA4A01" wp14:paraId="223091E7" wp14:textId="4CBFED37">
      <w:pPr>
        <w:pStyle w:val="Heading2"/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SGLT2 Inhibitors</w:t>
      </w:r>
    </w:p>
    <w:p xmlns:wp14="http://schemas.microsoft.com/office/word/2010/wordml" wp14:paraId="76911CF4" wp14:textId="2B00D480"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Benefits:</w:t>
      </w:r>
    </w:p>
    <w:p xmlns:wp14="http://schemas.microsoft.com/office/word/2010/wordml" w:rsidP="7DFA4A01" wp14:paraId="3337861B" wp14:textId="39AB22A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Kidney protection</w:t>
      </w:r>
    </w:p>
    <w:p xmlns:wp14="http://schemas.microsoft.com/office/word/2010/wordml" w:rsidP="7DFA4A01" wp14:paraId="35EDBF9D" wp14:textId="0EF7EB4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Heart failure benefit</w:t>
      </w:r>
    </w:p>
    <w:p xmlns:wp14="http://schemas.microsoft.com/office/word/2010/wordml" w:rsidP="7DFA4A01" wp14:paraId="17FD1C00" wp14:textId="51C29CB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Cardiovascular benefit</w:t>
      </w:r>
    </w:p>
    <w:p xmlns:wp14="http://schemas.microsoft.com/office/word/2010/wordml" wp14:paraId="7963574A" wp14:textId="3D376D69"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7DFA4A01" wp14:paraId="0F09B25F" wp14:textId="3FB8FB9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Empagliflozin</w:t>
      </w:r>
    </w:p>
    <w:p xmlns:wp14="http://schemas.microsoft.com/office/word/2010/wordml" w:rsidP="7DFA4A01" wp14:paraId="60F69B3B" wp14:textId="22B8EFD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Dapagliflozin</w:t>
      </w:r>
    </w:p>
    <w:p xmlns:wp14="http://schemas.microsoft.com/office/word/2010/wordml" w:rsidP="7DFA4A01" wp14:paraId="2DABD4A4" wp14:textId="76499971">
      <w:pPr>
        <w:pStyle w:val="Heading2"/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Cardiorenal Protection</w:t>
      </w:r>
    </w:p>
    <w:p xmlns:wp14="http://schemas.microsoft.com/office/word/2010/wordml" wp14:paraId="598AC4A9" wp14:textId="79167C4A"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Presence of CKD, ASCVD, or HF should influence therapy selection independent of A1c goals.</w:t>
      </w:r>
    </w:p>
    <w:p xmlns:wp14="http://schemas.microsoft.com/office/word/2010/wordml" w:rsidP="7DFA4A01" wp14:paraId="1C4392C1" wp14:textId="4E9B92B4">
      <w:pPr>
        <w:pStyle w:val="Heading2"/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Statin Therapy</w:t>
      </w:r>
    </w:p>
    <w:p xmlns:wp14="http://schemas.microsoft.com/office/word/2010/wordml" wp14:paraId="67F0D988" wp14:textId="1721D442"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Most adults age 40–75 years with diabetes should receive statin therapy.</w:t>
      </w:r>
    </w:p>
    <w:p xmlns:wp14="http://schemas.microsoft.com/office/word/2010/wordml" w:rsidP="7DFA4A01" wp14:paraId="5718D2C5" wp14:textId="55920A15">
      <w:pPr>
        <w:pStyle w:val="Heading2"/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Monitoring</w:t>
      </w:r>
    </w:p>
    <w:p xmlns:wp14="http://schemas.microsoft.com/office/word/2010/wordml" w:rsidP="7DFA4A01" wp14:paraId="7E054DED" wp14:textId="13B8860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A1c every 3 months until controlled</w:t>
      </w:r>
    </w:p>
    <w:p xmlns:wp14="http://schemas.microsoft.com/office/word/2010/wordml" w:rsidP="7DFA4A01" wp14:paraId="27F0F35A" wp14:textId="392640E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eGFR</w:t>
      </w:r>
    </w:p>
    <w:p xmlns:wp14="http://schemas.microsoft.com/office/word/2010/wordml" w:rsidP="7DFA4A01" wp14:paraId="4121171A" wp14:textId="3D3ECE8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UACR</w:t>
      </w:r>
    </w:p>
    <w:p xmlns:wp14="http://schemas.microsoft.com/office/word/2010/wordml" w:rsidP="7DFA4A01" wp14:paraId="32FBE442" wp14:textId="15FB47A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SMBG or CGM when appropriate</w:t>
      </w:r>
    </w:p>
    <w:p xmlns:wp14="http://schemas.microsoft.com/office/word/2010/wordml" w:rsidP="7DFA4A01" wp14:paraId="57BBB13E" wp14:textId="7FFAF7C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Weight</w:t>
      </w:r>
    </w:p>
    <w:p xmlns:wp14="http://schemas.microsoft.com/office/word/2010/wordml" w:rsidP="7DFA4A01" wp14:paraId="28B7CBE6" wp14:textId="7235715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Blood pressure</w:t>
      </w:r>
    </w:p>
    <w:p xmlns:wp14="http://schemas.microsoft.com/office/word/2010/wordml" w:rsidP="7DFA4A01" wp14:paraId="74248446" wp14:textId="50B45492">
      <w:pPr>
        <w:pStyle w:val="Heading2"/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Lifestyle Counseling</w:t>
      </w:r>
    </w:p>
    <w:p xmlns:wp14="http://schemas.microsoft.com/office/word/2010/wordml" w:rsidP="7DFA4A01" wp14:paraId="16328203" wp14:textId="6D991E9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Nutrition optimization</w:t>
      </w:r>
    </w:p>
    <w:p xmlns:wp14="http://schemas.microsoft.com/office/word/2010/wordml" w:rsidP="7DFA4A01" wp14:paraId="4263179B" wp14:textId="7992339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Physical activity</w:t>
      </w:r>
    </w:p>
    <w:p xmlns:wp14="http://schemas.microsoft.com/office/word/2010/wordml" w:rsidP="7DFA4A01" wp14:paraId="702C937E" wp14:textId="20C2864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Weight management</w:t>
      </w:r>
    </w:p>
    <w:p xmlns:wp14="http://schemas.microsoft.com/office/word/2010/wordml" w:rsidP="7DFA4A01" wp14:paraId="4481FA02" wp14:textId="108FA10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Smoking cessation</w:t>
      </w:r>
    </w:p>
    <w:p xmlns:wp14="http://schemas.microsoft.com/office/word/2010/wordml" w:rsidP="7DFA4A01" wp14:paraId="7370B778" wp14:textId="34FA49F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Medication adherence</w:t>
      </w:r>
    </w:p>
    <w:p xmlns:wp14="http://schemas.microsoft.com/office/word/2010/wordml" w:rsidP="7DFA4A01" wp14:paraId="0DB31369" wp14:textId="56C8F611">
      <w:pPr>
        <w:pStyle w:val="Heading2"/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Pharmacist-Specific Interventions</w:t>
      </w:r>
    </w:p>
    <w:p xmlns:wp14="http://schemas.microsoft.com/office/word/2010/wordml" w:rsidP="7DFA4A01" wp14:paraId="6E37997C" wp14:textId="2B74408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Therapy optimization</w:t>
      </w:r>
    </w:p>
    <w:p xmlns:wp14="http://schemas.microsoft.com/office/word/2010/wordml" w:rsidP="7DFA4A01" wp14:paraId="369A7407" wp14:textId="00F4219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Injection training</w:t>
      </w:r>
    </w:p>
    <w:p xmlns:wp14="http://schemas.microsoft.com/office/word/2010/wordml" w:rsidP="7DFA4A01" wp14:paraId="010DD504" wp14:textId="66FDD00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Adherence assessment</w:t>
      </w:r>
    </w:p>
    <w:p xmlns:wp14="http://schemas.microsoft.com/office/word/2010/wordml" w:rsidP="7DFA4A01" wp14:paraId="6A0E1F1F" wp14:textId="390FBBB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Insurance navigation</w:t>
      </w:r>
    </w:p>
    <w:p xmlns:wp14="http://schemas.microsoft.com/office/word/2010/wordml" w:rsidP="7DFA4A01" wp14:paraId="4CF440F3" wp14:textId="1D3280F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Monitoring plan development</w:t>
      </w:r>
    </w:p>
    <w:p xmlns:wp14="http://schemas.microsoft.com/office/word/2010/wordml" w:rsidP="7DFA4A01" wp14:paraId="5574386F" wp14:textId="4A27E52D">
      <w:pPr>
        <w:pStyle w:val="Heading2"/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Common Student Mistakes</w:t>
      </w:r>
    </w:p>
    <w:p xmlns:wp14="http://schemas.microsoft.com/office/word/2010/wordml" w:rsidP="7DFA4A01" wp14:paraId="4F16ABBA" wp14:textId="3A59B6D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Focusing only on A1c</w:t>
      </w:r>
    </w:p>
    <w:p xmlns:wp14="http://schemas.microsoft.com/office/word/2010/wordml" w:rsidP="7DFA4A01" wp14:paraId="1E1D8AE4" wp14:textId="61339C1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Ignoring ASCVD risk</w:t>
      </w:r>
    </w:p>
    <w:p xmlns:wp14="http://schemas.microsoft.com/office/word/2010/wordml" w:rsidP="7DFA4A01" wp14:paraId="5B09DF06" wp14:textId="6E8E8DB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Ignoring CKD status</w:t>
      </w:r>
    </w:p>
    <w:p xmlns:wp14="http://schemas.microsoft.com/office/word/2010/wordml" w:rsidP="7DFA4A01" wp14:paraId="38560434" wp14:textId="78F6BC8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Delaying treatment intensification</w:t>
      </w:r>
    </w:p>
    <w:p xmlns:wp14="http://schemas.microsoft.com/office/word/2010/wordml" w:rsidP="7DFA4A01" wp14:paraId="194BAD79" wp14:textId="1AF04FE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Missing statin indications</w:t>
      </w:r>
    </w:p>
    <w:p xmlns:wp14="http://schemas.microsoft.com/office/word/2010/wordml" w:rsidP="7DFA4A01" wp14:paraId="3EE27341" wp14:textId="2018442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Missing kidney-protective therapies</w:t>
      </w:r>
    </w:p>
    <w:p xmlns:wp14="http://schemas.microsoft.com/office/word/2010/wordml" w:rsidP="7DFA4A01" wp14:paraId="767B666D" wp14:textId="018F9D8F">
      <w:pPr>
        <w:pStyle w:val="Heading2"/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Escalation Points</w:t>
      </w:r>
    </w:p>
    <w:p xmlns:wp14="http://schemas.microsoft.com/office/word/2010/wordml" w:rsidP="7DFA4A01" wp14:paraId="095332AC" wp14:textId="43190C5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A1c &gt;9%</w:t>
      </w:r>
    </w:p>
    <w:p xmlns:wp14="http://schemas.microsoft.com/office/word/2010/wordml" w:rsidP="7DFA4A01" wp14:paraId="2E5A98EE" wp14:textId="00987E5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Symptomatic hyperglycemia</w:t>
      </w:r>
    </w:p>
    <w:p xmlns:wp14="http://schemas.microsoft.com/office/word/2010/wordml" w:rsidP="7DFA4A01" wp14:paraId="6C648D66" wp14:textId="3529A29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Progressive CKD</w:t>
      </w:r>
    </w:p>
    <w:p xmlns:wp14="http://schemas.microsoft.com/office/word/2010/wordml" w:rsidP="7DFA4A01" wp14:paraId="65DCD5C6" wp14:textId="3129AA0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Recurrent hypoglycemia</w:t>
      </w:r>
    </w:p>
    <w:p xmlns:wp14="http://schemas.microsoft.com/office/word/2010/wordml" w:rsidP="7DFA4A01" wp14:paraId="10C1409E" wp14:textId="6CA4C18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Failure of dual therapy</w:t>
      </w:r>
    </w:p>
    <w:p xmlns:wp14="http://schemas.microsoft.com/office/word/2010/wordml" wp14:paraId="2C078E63" wp14:textId="3BA7963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103bcf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5d5fd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9b0f7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8ae99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65f00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e0fcf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e80c2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ea69c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b28ba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f369e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a26b0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4f9d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53222E"/>
    <w:rsid w:val="3B53222E"/>
    <w:rsid w:val="79C081D0"/>
    <w:rsid w:val="7DFA4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60972"/>
  <w15:chartTrackingRefBased/>
  <w15:docId w15:val="{627E71B9-4378-4ABE-8C09-91DDF3B81A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28c70d24f4942e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3" ma:contentTypeDescription="Create a new document." ma:contentTypeScope="" ma:versionID="88df61b7fbd3f478c418a8f3bb500874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9e94f17c61621a2eff9992b5e11e4cd6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A50CC9F-C188-41C5-9858-257D16707867}"/>
</file>

<file path=customXml/itemProps2.xml><?xml version="1.0" encoding="utf-8"?>
<ds:datastoreItem xmlns:ds="http://schemas.openxmlformats.org/officeDocument/2006/customXml" ds:itemID="{A959B544-3444-4116-9D1F-141D3697D787}"/>
</file>

<file path=customXml/itemProps3.xml><?xml version="1.0" encoding="utf-8"?>
<ds:datastoreItem xmlns:ds="http://schemas.openxmlformats.org/officeDocument/2006/customXml" ds:itemID="{2B8F222C-715D-416E-9E92-7E8586436BC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alyssa.oakes@ttuhsc.edu</dc:creator>
  <keywords/>
  <dc:description/>
  <dcterms:created xsi:type="dcterms:W3CDTF">2026-06-04T17:08:03.0000000Z</dcterms:created>
  <dcterms:modified xsi:type="dcterms:W3CDTF">2026-06-04T17:08:43.8826007Z</dcterms:modified>
  <lastModifiedBy>alyssa.oakes@ttuhsc.edu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</Properties>
</file>