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4E79"/>
          <w:sz w:val="44"/>
          <w:szCs w:val="44"/>
        </w:rPr>
        <w:t xml:space="preserve">Football Analytics Lakehouse</w:t>
      </w:r>
    </w:p>
    <w:p>
      <w:pPr>
        <w:spacing w:after="400"/>
        <w:jc w:val="center"/>
      </w:pPr>
      <w:r>
        <w:rPr>
          <w:i/>
          <w:iCs/>
          <w:color w:val="444444"/>
          <w:sz w:val="24"/>
          <w:szCs w:val="24"/>
        </w:rPr>
        <w:t xml:space="preserve">An End-to-End Medallion Architecture Data Pipeline for Football Match &amp; Performance Analytics</w:t>
      </w:r>
    </w:p>
    <w:p>
      <w:pPr>
        <w:spacing w:after="100"/>
        <w:jc w:val="center"/>
      </w:pPr>
      <w:r>
        <w:rPr>
          <w:b/>
          <w:bCs/>
          <w:sz w:val="26"/>
          <w:szCs w:val="26"/>
        </w:rPr>
        <w:t>Phase 1: Project Proposal</w:t>
      </w:r>
    </w:p>
    <w:p>
      <w:pPr>
        <w:spacing w:after="600"/>
        <w:jc w:val="center"/>
      </w:pPr>
      <w:r>
        <w:rPr>
          <w:color w:val="555555"/>
          <w:sz w:val="22"/>
          <w:szCs w:val="22"/>
        </w:rPr>
        <w:t>Data Engineering, Semester Project</w:t>
      </w:r>
    </w:p>
    <w:tbl>
      <w:tblPr>
        <w:tblW w:type="dxa" w:w="6500"/>
        <w:jc w:val="center"/>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4300"/>
      </w:tblGrid>
      <w:tr>
        <w:tc>
          <w:tcPr>
            <w:tcW w:type="dxa" w:w="2200"/>
            <w:shd w:fill="1F4E79" w:val="clear"/>
            <w:tcMar>
              <w:top w:type="dxa" w:w="100"/>
              <w:left w:type="dxa" w:w="120"/>
              <w:bottom w:type="dxa" w:w="100"/>
              <w:right w:type="dxa" w:w="120"/>
            </w:tcMar>
          </w:tcPr>
          <w:p>
            <w:r>
              <w:rPr>
                <w:b/>
                <w:bCs/>
                <w:color w:val="FFFFFF"/>
                <w:sz w:val="20"/>
                <w:szCs w:val="20"/>
              </w:rPr>
              <w:t xml:space="preserve">Team Member 1</w:t>
            </w:r>
          </w:p>
        </w:tc>
        <w:tc>
          <w:tcPr>
            <w:tcW w:type="dxa" w:w="4300"/>
            <w:tcMar>
              <w:top w:type="dxa" w:w="100"/>
              <w:left w:type="dxa" w:w="120"/>
              <w:bottom w:type="dxa" w:w="100"/>
              <w:right w:type="dxa" w:w="120"/>
            </w:tcMar>
          </w:tcPr>
          <w:p>
            <w:r>
              <w:rPr>
                <w:b w:val="false"/>
                <w:bCs w:val="false"/>
                <w:color w:val="000000"/>
                <w:sz w:val="20"/>
                <w:szCs w:val="20"/>
              </w:rPr>
              <w:t>Abdullah Azmat (23L-2611)</w:t>
            </w:r>
          </w:p>
        </w:tc>
      </w:tr>
      <w:tr>
        <w:tc>
          <w:tcPr>
            <w:tcW w:type="dxa" w:w="2200"/>
            <w:shd w:fill="1F4E79" w:val="clear"/>
            <w:tcMar>
              <w:top w:type="dxa" w:w="100"/>
              <w:left w:type="dxa" w:w="120"/>
              <w:bottom w:type="dxa" w:w="100"/>
              <w:right w:type="dxa" w:w="120"/>
            </w:tcMar>
          </w:tcPr>
          <w:p>
            <w:r>
              <w:rPr>
                <w:b/>
                <w:bCs/>
                <w:color w:val="FFFFFF"/>
                <w:sz w:val="20"/>
                <w:szCs w:val="20"/>
              </w:rPr>
              <w:t xml:space="preserve">Team Member 2</w:t>
            </w:r>
          </w:p>
        </w:tc>
        <w:tc>
          <w:tcPr>
            <w:tcW w:type="dxa" w:w="4300"/>
            <w:tcMar>
              <w:top w:type="dxa" w:w="100"/>
              <w:left w:type="dxa" w:w="120"/>
              <w:bottom w:type="dxa" w:w="100"/>
              <w:right w:type="dxa" w:w="120"/>
            </w:tcMar>
          </w:tcPr>
          <w:p>
            <w:r>
              <w:rPr>
                <w:b w:val="false"/>
                <w:bCs w:val="false"/>
                <w:color w:val="000000"/>
                <w:sz w:val="20"/>
                <w:szCs w:val="20"/>
              </w:rPr>
              <w:t>Muhammad Usaid Chaudhry (23L-2538)</w:t>
            </w:r>
          </w:p>
        </w:tc>
      </w:tr>
      <w:tr>
        <w:tc>
          <w:tcPr>
            <w:tcW w:type="dxa" w:w="2200"/>
            <w:shd w:fill="1F4E79" w:val="clear"/>
            <w:tcMar>
              <w:top w:type="dxa" w:w="100"/>
              <w:left w:type="dxa" w:w="120"/>
              <w:bottom w:type="dxa" w:w="100"/>
              <w:right w:type="dxa" w:w="120"/>
            </w:tcMar>
          </w:tcPr>
          <w:p>
            <w:r>
              <w:rPr>
                <w:b/>
                <w:bCs/>
                <w:color w:val="FFFFFF"/>
                <w:sz w:val="20"/>
                <w:szCs w:val="20"/>
              </w:rPr>
              <w:t xml:space="preserve">Program</w:t>
            </w:r>
          </w:p>
        </w:tc>
        <w:tc>
          <w:tcPr>
            <w:tcW w:type="dxa" w:w="4300"/>
            <w:tcMar>
              <w:top w:type="dxa" w:w="100"/>
              <w:left w:type="dxa" w:w="120"/>
              <w:bottom w:type="dxa" w:w="100"/>
              <w:right w:type="dxa" w:w="120"/>
            </w:tcMar>
          </w:tcPr>
          <w:p>
            <w:r>
              <w:rPr>
                <w:b w:val="false"/>
                <w:bCs w:val="false"/>
                <w:color w:val="000000"/>
                <w:sz w:val="20"/>
                <w:szCs w:val="20"/>
              </w:rPr>
              <w:t xml:space="preserve">BS Data Science, FAST-NUCES Lahore</w:t>
            </w:r>
          </w:p>
        </w:tc>
      </w:tr>
      <w:tr>
        <w:tc>
          <w:tcPr>
            <w:tcW w:type="dxa" w:w="2200"/>
            <w:shd w:fill="1F4E79" w:val="clear"/>
            <w:tcMar>
              <w:top w:type="dxa" w:w="100"/>
              <w:left w:type="dxa" w:w="120"/>
              <w:bottom w:type="dxa" w:w="100"/>
              <w:right w:type="dxa" w:w="120"/>
            </w:tcMar>
          </w:tcPr>
          <w:p>
            <w:r>
              <w:rPr>
                <w:b/>
                <w:bCs/>
                <w:color w:val="FFFFFF"/>
                <w:sz w:val="20"/>
                <w:szCs w:val="20"/>
              </w:rPr>
              <w:t xml:space="preserve">GitHub Repository</w:t>
            </w:r>
          </w:p>
        </w:tc>
        <w:tc>
          <w:tcPr>
            <w:tcW w:type="dxa" w:w="4300"/>
            <w:tcMar>
              <w:top w:type="dxa" w:w="100"/>
              <w:left w:type="dxa" w:w="120"/>
              <w:bottom w:type="dxa" w:w="100"/>
              <w:right w:type="dxa" w:w="120"/>
            </w:tcMar>
          </w:tcPr>
          <w:p>
            <w:r>
              <w:rPr>
                <w:b w:val="false"/>
                <w:bCs w:val="false"/>
                <w:color w:val="000000"/>
                <w:sz w:val="20"/>
                <w:szCs w:val="20"/>
              </w:rPr>
            </w:r>
            <w:hyperlink r:id="rId8">
              <w:r>
                <w:rPr>
                  <w:color w:val="0563C1"/>
                  <w:u w:val="single"/>
                </w:rPr>
                <w:t>https://github.com/AbdulahAzmat/football-analytics-lakehouse</w:t>
              </w:r>
            </w:hyperlink>
          </w:p>
        </w:tc>
      </w:tr>
      <w:tr>
        <w:tc>
          <w:tcPr>
            <w:tcW w:type="dxa" w:w="2200"/>
            <w:shd w:fill="1F4E79" w:val="clear"/>
            <w:tcMar>
              <w:top w:type="dxa" w:w="100"/>
              <w:left w:type="dxa" w:w="120"/>
              <w:bottom w:type="dxa" w:w="100"/>
              <w:right w:type="dxa" w:w="120"/>
            </w:tcMar>
          </w:tcPr>
          <w:p>
            <w:r>
              <w:rPr>
                <w:b/>
                <w:bCs/>
                <w:color w:val="FFFFFF"/>
                <w:sz w:val="20"/>
                <w:szCs w:val="20"/>
              </w:rPr>
              <w:t xml:space="preserve">Submission Date</w:t>
            </w:r>
          </w:p>
        </w:tc>
        <w:tc>
          <w:tcPr>
            <w:tcW w:type="dxa" w:w="4300"/>
            <w:tcMar>
              <w:top w:type="dxa" w:w="100"/>
              <w:left w:type="dxa" w:w="120"/>
              <w:bottom w:type="dxa" w:w="100"/>
              <w:right w:type="dxa" w:w="120"/>
            </w:tcMar>
          </w:tcPr>
          <w:p>
            <w:r>
              <w:rPr>
                <w:b w:val="false"/>
                <w:bCs w:val="false"/>
                <w:color w:val="000000"/>
                <w:sz w:val="20"/>
                <w:szCs w:val="20"/>
              </w:rPr>
              <w:t>2026-09-27</w:t>
            </w:r>
          </w:p>
        </w:tc>
      </w:tr>
    </w:tbl>
    <w:p>
      <w:r>
        <w:br w:type="page"/>
      </w:r>
    </w:p>
    <w:p>
      <w:pPr>
        <w:pStyle w:val="Heading1"/>
        <w:spacing w:after="160" w:before="360"/>
      </w:pPr>
      <w:r>
        <w:rPr>
          <w:b/>
          <w:bCs/>
          <w:color w:val="1F4E79"/>
          <w:sz w:val="30"/>
          <w:szCs w:val="30"/>
        </w:rPr>
        <w:t xml:space="preserve">1. Domain &amp; Source Identification</w:t>
      </w:r>
    </w:p>
    <w:p>
      <w:pPr>
        <w:pStyle w:val="Heading2"/>
        <w:spacing w:after="120" w:before="240"/>
      </w:pPr>
      <w:r>
        <w:rPr>
          <w:b/>
          <w:bCs/>
          <w:color w:val="1F4E79"/>
          <w:sz w:val="24"/>
          <w:szCs w:val="24"/>
        </w:rPr>
        <w:t xml:space="preserve">1.1 Project Concept</w:t>
      </w:r>
    </w:p>
    <w:p>
      <w:pPr>
        <w:spacing w:after="160" w:line="276"/>
      </w:pPr>
      <w:r>
        <w:rPr>
          <w:sz w:val="22"/>
          <w:szCs w:val="22"/>
        </w:rPr>
        <w:t>Our project sits in the football (soccer) analytics domain. Football produces a steady stream of structured data (fixtures, results, standings, and team and player metadata) across dozens of competitions worldwide, refreshed almost daily while seasons are active. That makes it a good fit for a Medallion Architecture pipeline, because it gives us both a large historical backfill to load once and a small, frequent stream of updates to handle on a schedule, while staying light enough to run inside free-tier compute and storage limits.</w:t>
      </w:r>
    </w:p>
    <w:p>
      <w:pPr>
        <w:spacing w:after="160" w:line="276"/>
      </w:pPr>
      <w:r>
        <w:rPr>
          <w:sz w:val="22"/>
          <w:szCs w:val="22"/>
        </w:rPr>
        <w:t xml:space="preserve">The pipeline will ingest raw match, team, competition, and standings data, progressively clean and conform it through Bronze and Silver layers, and model it into an analytics-ready Gold layer that answers real business questions about team performance, scoring trends, and home/away form.</w:t>
      </w:r>
    </w:p>
    <w:p>
      <w:pPr>
        <w:pStyle w:val="Heading2"/>
        <w:spacing w:after="120" w:before="240"/>
      </w:pPr>
      <w:r>
        <w:rPr>
          <w:b/>
          <w:bCs/>
          <w:color w:val="1F4E79"/>
          <w:sz w:val="24"/>
          <w:szCs w:val="24"/>
        </w:rPr>
        <w:t xml:space="preserve">1.2 Data Source</w:t>
      </w:r>
    </w:p>
    <w:p>
      <w:pPr>
        <w:pStyle w:val="ListParagraph"/>
        <w:numPr>
          <w:ilvl w:val="0"/>
          <w:numId w:val="2"/>
        </w:numPr>
        <w:spacing w:after="90" w:line="276"/>
      </w:pPr>
      <w:r>
        <w:rPr>
          <w:b/>
          <w:bCs/>
          <w:sz w:val="22"/>
          <w:szCs w:val="22"/>
        </w:rPr>
        <w:t>Primary source: the football-data.org REST API (v4), which provides fixtures, results, standings, teams, and squads. The free tier covers twelve competitions, and we plan to use all of them: the Premier League, Championship, La Liga, Bundesliga, Serie A, Ligue 1, Eredivisie, Primeira Liga, Campeonato Brasileiro Serie A, the UEFA Champions League, the European Championship, and the FIFA World Cup.</w:t>
      </w:r>
      <w:r>
        <w:rPr>
          <w:sz w:val="22"/>
          <w:szCs w:val="22"/>
        </w:rPr>
      </w:r>
    </w:p>
    <w:p>
      <w:pPr>
        <w:pStyle w:val="ListParagraph"/>
        <w:numPr>
          <w:ilvl w:val="0"/>
          <w:numId w:val="2"/>
        </w:numPr>
        <w:spacing w:after="90" w:line="276"/>
      </w:pPr>
      <w:r>
        <w:rPr>
          <w:b/>
          <w:bCs/>
          <w:sz w:val="22"/>
          <w:szCs w:val="22"/>
        </w:rPr>
        <w:t>Key endpoints. GET /v4/competitions/{id}/matches, with filters dateFrom, dateTo, status, matchday, and season, returns fixtures and results for one competition.</w:t>
      </w:r>
      <w:r>
        <w:rPr>
          <w:sz w:val="22"/>
          <w:szCs w:val="22"/>
        </w:rPr>
      </w:r>
    </w:p>
    <w:p>
      <w:pPr>
        <w:pStyle w:val="ListParagraph"/>
        <w:numPr>
          <w:ilvl w:val="0"/>
          <w:numId w:val="2"/>
        </w:numPr>
        <w:spacing w:after="90" w:line="276"/>
      </w:pPr>
      <w:r>
        <w:rPr>
          <w:sz w:val="22"/>
          <w:szCs w:val="22"/>
        </w:rPr>
        <w:t>GET /v4/competitions/{id}/standings, with matchday and season filters, returns the league table.</w:t>
      </w:r>
    </w:p>
    <w:p>
      <w:pPr>
        <w:pStyle w:val="ListParagraph"/>
        <w:numPr>
          <w:ilvl w:val="0"/>
          <w:numId w:val="2"/>
        </w:numPr>
        <w:spacing w:after="90" w:line="276"/>
      </w:pPr>
      <w:r>
        <w:rPr>
          <w:sz w:val="22"/>
          <w:szCs w:val="22"/>
        </w:rPr>
        <w:t>GET /v4/competitions/{id}/teams, filtered by season, returns team and squad metadata.</w:t>
      </w:r>
    </w:p>
    <w:p>
      <w:pPr>
        <w:pStyle w:val="ListParagraph"/>
        <w:numPr>
          <w:ilvl w:val="0"/>
          <w:numId w:val="2"/>
        </w:numPr>
        <w:spacing w:after="90" w:line="276"/>
      </w:pPr>
      <w:r>
        <w:rPr>
          <w:sz w:val="22"/>
          <w:szCs w:val="22"/>
        </w:rPr>
        <w:t>GET /v4/competitions/{id}/scorers returns top scorers for a competition and season.</w:t>
      </w:r>
    </w:p>
    <w:p>
      <w:pPr>
        <w:pStyle w:val="ListParagraph"/>
        <w:numPr>
          <w:ilvl w:val="0"/>
          <w:numId w:val="2"/>
        </w:numPr>
        <w:spacing w:after="90" w:line="276"/>
      </w:pPr>
      <w:r>
        <w:rPr>
          <w:b/>
          <w:bCs/>
          <w:sz w:val="22"/>
          <w:szCs w:val="22"/>
        </w:rPr>
        <w:t>Access: the free tier needs only a personal API key sent as an X-Auth-Token header, and allows 10 requests per minute. We registered a key and tested the API directly on 2026-09-27 rather than relying on the published documentation, which turned out to be inaccurate in places. The matches, standings, teams, and scorers endpoints all work on the free tier across the twelve competitions listed above. The full test log is in docs/api-verification.md in the repository.</w:t>
      </w:r>
      <w:r>
        <w:rPr>
          <w:sz w:val="22"/>
          <w:szCs w:val="22"/>
        </w:rPr>
      </w:r>
    </w:p>
    <w:p>
      <w:pPr>
        <w:pStyle w:val="ListParagraph"/>
        <w:numPr>
          <w:ilvl w:val="0"/>
          <w:numId w:val="2"/>
        </w:numPr>
        <w:spacing w:after="90" w:line="276"/>
      </w:pPr>
      <w:r>
        <w:rPr>
          <w:b/>
          <w:bCs/>
          <w:sz w:val="22"/>
          <w:szCs w:val="22"/>
        </w:rPr>
        <w:t>Fallback source: API-Football on RapidAPI is kept in reserve in case rate limits or competition coverage on football-data.org become a problem during Phase 2.</w:t>
      </w:r>
      <w:r>
        <w:rPr>
          <w:sz w:val="22"/>
          <w:szCs w:val="22"/>
        </w:rPr>
      </w:r>
    </w:p>
    <w:p>
      <w:pPr>
        <w:pStyle w:val="Heading2"/>
        <w:spacing w:after="120" w:before="240"/>
      </w:pPr>
      <w:r>
        <w:rPr>
          <w:b/>
          <w:bCs/>
          <w:color w:val="1F4E79"/>
          <w:sz w:val="24"/>
          <w:szCs w:val="24"/>
        </w:rPr>
        <w:t xml:space="preserve">1.3 Ingestion Pattern</w:t>
      </w:r>
    </w:p>
    <w:p>
      <w:pPr>
        <w:spacing w:after="160" w:line="276"/>
      </w:pPr>
      <w:r>
        <w:rPr>
          <w:sz w:val="22"/>
          <w:szCs w:val="22"/>
        </w:rPr>
        <w:t xml:space="preserve">The chosen source natively supports both load types required by the project:</w:t>
      </w:r>
    </w:p>
    <w:p>
      <w:pPr>
        <w:pStyle w:val="ListParagraph"/>
        <w:numPr>
          <w:ilvl w:val="0"/>
          <w:numId w:val="2"/>
        </w:numPr>
        <w:spacing w:after="90" w:line="276"/>
      </w:pPr>
      <w:r>
        <w:rPr>
          <w:b/>
          <w:bCs/>
          <w:sz w:val="22"/>
          <w:szCs w:val="22"/>
        </w:rPr>
        <w:t>Full Load: a one-time historical extraction covering the completed 2023/24, 2024/25 and 2025/26 seasons plus the current in-progress season, across all twelve competitions. This builds the historical baseline in the Bronze layer. Testing showed the free tier stops at 2023: a request for season 2022 returns HTTP 403 with the message that the resource is not within our permissions, while 2023 onward works normally. Four seasons is therefore the maximum depth available to us.</w:t>
      </w:r>
      <w:r>
        <w:rPr>
          <w:sz w:val="22"/>
          <w:szCs w:val="22"/>
        </w:rPr>
      </w:r>
    </w:p>
    <w:p>
      <w:pPr>
        <w:pStyle w:val="ListParagraph"/>
        <w:numPr>
          <w:ilvl w:val="0"/>
          <w:numId w:val="2"/>
        </w:numPr>
        <w:spacing w:after="90" w:line="276"/>
      </w:pPr>
      <w:r>
        <w:rPr>
          <w:b/>
          <w:bCs/>
          <w:sz w:val="22"/>
          <w:szCs w:val="22"/>
        </w:rPr>
        <w:t>Incremental Load: a scheduled daily pull against GET /v4/matches using the competitions, dateFrom, dateTo and status parameters, fetching only matches that were newly scheduled, newly finished, or updated since the last run (score corrections, postponements). The source is a REST API rather than a database, but this gives us a realistic change-data-capture pattern to work with.</w:t>
      </w:r>
      <w:r>
        <w:rPr>
          <w:sz w:val="22"/>
          <w:szCs w:val="22"/>
        </w:rPr>
      </w:r>
    </w:p>
    <w:p>
      <w:pPr>
        <w:pStyle w:val="Heading1"/>
        <w:spacing w:after="160" w:before="360"/>
      </w:pPr>
      <w:r>
        <w:rPr>
          <w:b/>
          <w:bCs/>
          <w:color w:val="1F4E79"/>
          <w:sz w:val="30"/>
          <w:szCs w:val="30"/>
        </w:rPr>
        <w:t xml:space="preserve">2. Data Samples &amp; Volume</w:t>
      </w:r>
    </w:p>
    <w:p>
      <w:pPr>
        <w:pStyle w:val="Heading2"/>
        <w:spacing w:after="120" w:before="240"/>
      </w:pPr>
      <w:r>
        <w:rPr>
          <w:b/>
          <w:bCs/>
          <w:color w:val="1F4E79"/>
          <w:sz w:val="24"/>
          <w:szCs w:val="24"/>
        </w:rPr>
        <w:t xml:space="preserve">2.1 Sample Files</w:t>
      </w:r>
    </w:p>
    <w:p>
      <w:pPr>
        <w:spacing w:after="160" w:line="276"/>
      </w:pPr>
      <w:r>
        <w:rPr>
          <w:sz w:val="22"/>
          <w:szCs w:val="22"/>
        </w:rPr>
        <w:t>The raw JSON payloads below were pulled from the live API and pushed to the repository under /data/samples/ (</w:t>
      </w:r>
      <w:hyperlink r:id="rId9">
        <w:r>
          <w:rPr>
            <w:color w:val="0563C1"/>
            <w:u w:val="single"/>
          </w:rPr>
          <w:t>direct link to the dataset folder</w:t>
        </w:r>
      </w:hyperlink>
      <w:r>
        <w:t>):</w:t>
      </w:r>
    </w:p>
    <w:p>
      <w:pPr>
        <w:pStyle w:val="ListParagraph"/>
        <w:numPr>
          <w:ilvl w:val="0"/>
          <w:numId w:val="2"/>
        </w:numPr>
        <w:spacing w:after="90" w:line="276"/>
      </w:pPr>
      <w:r>
        <w:rPr>
          <w:sz w:val="22"/>
          <w:szCs w:val="22"/>
        </w:rPr>
        <w:t>full_load_sample_pl_2023-24.json, full_load_sample_pl_2024-25.json and full_load_sample_pl_2025-26.json hold three complete Premier League seasons (380 matches each), alongside full_load_sample_pl_teams.json for team and squad metadata and full_load_sample_pl_standings.json for the current table. All were pulled live on 2026-09-27.</w:t>
      </w:r>
    </w:p>
    <w:p>
      <w:pPr>
        <w:pStyle w:val="ListParagraph"/>
        <w:numPr>
          <w:ilvl w:val="0"/>
          <w:numId w:val="2"/>
        </w:numPr>
        <w:spacing w:after="90" w:line="276"/>
      </w:pPr>
      <w:r>
        <w:rPr>
          <w:sz w:val="22"/>
          <w:szCs w:val="22"/>
        </w:rPr>
        <w:t>incremental_load_sample_2026-09-20.json is a date-scoped pull through the multi-competition matches endpoint, capturing one real matchday of 20 matches across five leagues. The complete historical extraction described in Section 2.2 is also in the repository under /data/full_load/, as 76 files covering all twelve competitions.</w:t>
      </w:r>
    </w:p>
    <w:p>
      <w:pPr>
        <w:pStyle w:val="Heading2"/>
        <w:spacing w:after="120" w:before="240"/>
      </w:pPr>
      <w:r>
        <w:rPr>
          <w:b/>
          <w:bCs/>
          <w:color w:val="1F4E79"/>
          <w:sz w:val="24"/>
          <w:szCs w:val="24"/>
        </w:rPr>
        <w:t xml:space="preserve">2.2 Volume &amp; Frequency Estimation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3100"/>
        <w:gridCol w:w="3300"/>
        <w:gridCol w:w="2950"/>
      </w:tblGrid>
      <w:tr>
        <w:tc>
          <w:tcPr>
            <w:tcW w:type="dxa" w:w="3100"/>
            <w:shd w:fill="1F4E79" w:val="clear"/>
            <w:tcMar>
              <w:top w:type="dxa" w:w="100"/>
              <w:left w:type="dxa" w:w="120"/>
              <w:bottom w:type="dxa" w:w="100"/>
              <w:right w:type="dxa" w:w="120"/>
            </w:tcMar>
          </w:tcPr>
          <w:p>
            <w:r>
              <w:rPr>
                <w:b/>
                <w:bCs/>
                <w:color w:val="FFFFFF"/>
                <w:sz w:val="20"/>
                <w:szCs w:val="20"/>
              </w:rPr>
              <w:t>Dataset</w:t>
            </w:r>
          </w:p>
        </w:tc>
        <w:tc>
          <w:tcPr>
            <w:tcW w:type="dxa" w:w="3300"/>
            <w:shd w:fill="1F4E79" w:val="clear"/>
            <w:tcMar>
              <w:top w:type="dxa" w:w="100"/>
              <w:left w:type="dxa" w:w="120"/>
              <w:bottom w:type="dxa" w:w="100"/>
              <w:right w:type="dxa" w:w="120"/>
            </w:tcMar>
          </w:tcPr>
          <w:p>
            <w:r>
              <w:rPr>
                <w:b/>
                <w:bCs/>
                <w:color w:val="FFFFFF"/>
                <w:sz w:val="20"/>
                <w:szCs w:val="20"/>
              </w:rPr>
              <w:t>Scope</w:t>
            </w:r>
          </w:p>
        </w:tc>
        <w:tc>
          <w:tcPr>
            <w:tcW w:type="dxa" w:w="2950"/>
            <w:shd w:fill="1F4E79" w:val="clear"/>
            <w:tcMar>
              <w:top w:type="dxa" w:w="100"/>
              <w:left w:type="dxa" w:w="120"/>
              <w:bottom w:type="dxa" w:w="100"/>
              <w:right w:type="dxa" w:w="120"/>
            </w:tcMar>
          </w:tcPr>
          <w:p>
            <w:r>
              <w:rPr>
                <w:b/>
                <w:bCs/>
                <w:color w:val="FFFFFF"/>
                <w:sz w:val="20"/>
                <w:szCs w:val="20"/>
              </w:rPr>
              <w:t>Measured Size</w:t>
            </w:r>
          </w:p>
        </w:tc>
      </w:tr>
      <w:tr>
        <w:tc>
          <w:tcPr>
            <w:tcW w:type="dxa" w:w="3100"/>
            <w:tcMar>
              <w:top w:type="dxa" w:w="100"/>
              <w:left w:type="dxa" w:w="120"/>
              <w:bottom w:type="dxa" w:w="100"/>
              <w:right w:type="dxa" w:w="120"/>
            </w:tcMar>
          </w:tcPr>
          <w:p>
            <w:r>
              <w:rPr>
                <w:b w:val="false"/>
                <w:bCs w:val="false"/>
                <w:color w:val="000000"/>
                <w:sz w:val="20"/>
                <w:szCs w:val="20"/>
              </w:rPr>
              <w:t>Full Load (measured)</w:t>
            </w:r>
          </w:p>
        </w:tc>
        <w:tc>
          <w:tcPr>
            <w:tcW w:type="dxa" w:w="3300"/>
            <w:tcMar>
              <w:top w:type="dxa" w:w="100"/>
              <w:left w:type="dxa" w:w="120"/>
              <w:bottom w:type="dxa" w:w="100"/>
              <w:right w:type="dxa" w:w="120"/>
            </w:tcMar>
          </w:tcPr>
          <w:p>
            <w:r>
              <w:rPr>
                <w:b w:val="false"/>
                <w:bCs w:val="false"/>
                <w:color w:val="000000"/>
                <w:sz w:val="20"/>
                <w:szCs w:val="20"/>
              </w:rPr>
              <w:t>12 competitions x 4 seasons: 14,001 matches, 284 teams, 7,149 players, 212 standings rows, 600 scorer rows</w:t>
            </w:r>
          </w:p>
        </w:tc>
        <w:tc>
          <w:tcPr>
            <w:tcW w:type="dxa" w:w="2950"/>
            <w:tcMar>
              <w:top w:type="dxa" w:w="100"/>
              <w:left w:type="dxa" w:w="120"/>
              <w:bottom w:type="dxa" w:w="100"/>
              <w:right w:type="dxa" w:w="120"/>
            </w:tcMar>
          </w:tcPr>
          <w:p>
            <w:r>
              <w:rPr>
                <w:b w:val="false"/>
                <w:bCs w:val="false"/>
                <w:color w:val="000000"/>
                <w:sz w:val="20"/>
                <w:szCs w:val="20"/>
              </w:rPr>
              <w:t>15.87 MB across 76 JSON files</w:t>
            </w:r>
          </w:p>
        </w:tc>
      </w:tr>
      <w:tr>
        <w:tc>
          <w:tcPr>
            <w:tcW w:type="dxa" w:w="3100"/>
            <w:tcMar>
              <w:top w:type="dxa" w:w="100"/>
              <w:left w:type="dxa" w:w="120"/>
              <w:bottom w:type="dxa" w:w="100"/>
              <w:right w:type="dxa" w:w="120"/>
            </w:tcMar>
          </w:tcPr>
          <w:p>
            <w:r>
              <w:rPr>
                <w:b w:val="false"/>
                <w:bCs w:val="false"/>
                <w:color w:val="000000"/>
                <w:sz w:val="20"/>
                <w:szCs w:val="20"/>
              </w:rPr>
              <w:t>Incremental Load</w:t>
            </w:r>
          </w:p>
        </w:tc>
        <w:tc>
          <w:tcPr>
            <w:tcW w:type="dxa" w:w="3300"/>
            <w:tcMar>
              <w:top w:type="dxa" w:w="100"/>
              <w:left w:type="dxa" w:w="120"/>
              <w:bottom w:type="dxa" w:w="100"/>
              <w:right w:type="dxa" w:w="120"/>
            </w:tcMar>
          </w:tcPr>
          <w:p>
            <w:r>
              <w:rPr>
                <w:b w:val="false"/>
                <w:bCs w:val="false"/>
                <w:color w:val="000000"/>
                <w:sz w:val="20"/>
                <w:szCs w:val="20"/>
              </w:rPr>
              <w:t>Daily fixture and result updates across all tracked competitions</w:t>
            </w:r>
          </w:p>
        </w:tc>
        <w:tc>
          <w:tcPr>
            <w:tcW w:type="dxa" w:w="2950"/>
            <w:tcMar>
              <w:top w:type="dxa" w:w="100"/>
              <w:left w:type="dxa" w:w="120"/>
              <w:bottom w:type="dxa" w:w="100"/>
              <w:right w:type="dxa" w:w="120"/>
            </w:tcMar>
          </w:tcPr>
          <w:p>
            <w:r>
              <w:rPr>
                <w:b w:val="false"/>
                <w:bCs w:val="false"/>
                <w:color w:val="000000"/>
                <w:sz w:val="20"/>
                <w:szCs w:val="20"/>
              </w:rPr>
              <w:t>~15 to 30 KB on match days, ~0 on rest days</w:t>
            </w:r>
          </w:p>
        </w:tc>
      </w:tr>
      <w:tr>
        <w:tc>
          <w:tcPr>
            <w:tcW w:type="dxa" w:w="3100"/>
            <w:tcMar>
              <w:top w:type="dxa" w:w="100"/>
              <w:left w:type="dxa" w:w="120"/>
              <w:bottom w:type="dxa" w:w="100"/>
              <w:right w:type="dxa" w:w="120"/>
            </w:tcMar>
          </w:tcPr>
          <w:p>
            <w:r>
              <w:rPr>
                <w:b w:val="false"/>
                <w:bCs w:val="false"/>
                <w:color w:val="000000"/>
                <w:sz w:val="20"/>
                <w:szCs w:val="20"/>
              </w:rPr>
              <w:t>Weekly Accumulation</w:t>
            </w:r>
          </w:p>
        </w:tc>
        <w:tc>
          <w:tcPr>
            <w:tcW w:type="dxa" w:w="3300"/>
            <w:tcMar>
              <w:top w:type="dxa" w:w="100"/>
              <w:left w:type="dxa" w:w="120"/>
              <w:bottom w:type="dxa" w:w="100"/>
              <w:right w:type="dxa" w:w="120"/>
            </w:tcMar>
          </w:tcPr>
          <w:p>
            <w:r>
              <w:rPr>
                <w:b w:val="false"/>
                <w:bCs w:val="false"/>
                <w:color w:val="000000"/>
                <w:sz w:val="20"/>
                <w:szCs w:val="20"/>
              </w:rPr>
              <w:t>7 days of incremental pulls</w:t>
            </w:r>
          </w:p>
        </w:tc>
        <w:tc>
          <w:tcPr>
            <w:tcW w:type="dxa" w:w="2950"/>
            <w:tcMar>
              <w:top w:type="dxa" w:w="100"/>
              <w:left w:type="dxa" w:w="120"/>
              <w:bottom w:type="dxa" w:w="100"/>
              <w:right w:type="dxa" w:w="120"/>
            </w:tcMar>
          </w:tcPr>
          <w:p>
            <w:r>
              <w:rPr>
                <w:b w:val="false"/>
                <w:bCs w:val="false"/>
                <w:color w:val="000000"/>
                <w:sz w:val="20"/>
                <w:szCs w:val="20"/>
              </w:rPr>
              <w:t>~100 to 150 KB per week</w:t>
            </w:r>
          </w:p>
        </w:tc>
      </w:tr>
      <w:tr>
        <w:tc>
          <w:tcPr>
            <w:tcW w:type="dxa" w:w="3100"/>
            <w:tcMar>
              <w:top w:type="dxa" w:w="100"/>
              <w:left w:type="dxa" w:w="120"/>
              <w:bottom w:type="dxa" w:w="100"/>
              <w:right w:type="dxa" w:w="120"/>
            </w:tcMar>
          </w:tcPr>
          <w:p>
            <w:r>
              <w:rPr>
                <w:b w:val="false"/>
                <w:bCs w:val="false"/>
                <w:color w:val="000000"/>
                <w:sz w:val="20"/>
                <w:szCs w:val="20"/>
              </w:rPr>
              <w:t>Projected Bronze size (end of semester)</w:t>
            </w:r>
          </w:p>
        </w:tc>
        <w:tc>
          <w:tcPr>
            <w:tcW w:type="dxa" w:w="3300"/>
            <w:tcMar>
              <w:top w:type="dxa" w:w="100"/>
              <w:left w:type="dxa" w:w="120"/>
              <w:bottom w:type="dxa" w:w="100"/>
              <w:right w:type="dxa" w:w="120"/>
            </w:tcMar>
          </w:tcPr>
          <w:p>
            <w:r>
              <w:rPr>
                <w:b w:val="false"/>
                <w:bCs w:val="false"/>
                <w:color w:val="000000"/>
                <w:sz w:val="20"/>
                <w:szCs w:val="20"/>
              </w:rPr>
              <w:t>Full load plus roughly 10 weeks of incrementals</w:t>
            </w:r>
          </w:p>
        </w:tc>
        <w:tc>
          <w:tcPr>
            <w:tcW w:type="dxa" w:w="2950"/>
            <w:tcMar>
              <w:top w:type="dxa" w:w="100"/>
              <w:left w:type="dxa" w:w="120"/>
              <w:bottom w:type="dxa" w:w="100"/>
              <w:right w:type="dxa" w:w="120"/>
            </w:tcMar>
          </w:tcPr>
          <w:p>
            <w:r>
              <w:rPr>
                <w:b w:val="false"/>
                <w:bCs w:val="false"/>
                <w:color w:val="000000"/>
                <w:sz w:val="20"/>
                <w:szCs w:val="20"/>
              </w:rPr>
              <w:t>~17 MB</w:t>
            </w:r>
          </w:p>
        </w:tc>
      </w:tr>
    </w:tbl>
    <w:p>
      <w:pPr>
        <w:spacing w:after="160" w:before="200"/>
      </w:pPr>
      <w:r>
        <w:rPr>
          <w:sz w:val="22"/>
          <w:szCs w:val="22"/>
        </w:rPr>
        <w:t>These figures come from an actual full pull rather than an estimate. On 2026-09-27 we ran the complete historical extraction across all twelve competitions for seasons 2023/24 through 2026/27, which produced 76 JSON files totalling 15.87 MB and holding 14,001 match records, 284 team records, 7,149 squad player records, 212 standings rows and 600 scorer rows. The Championship is the largest single competition at 2,223 matches over four seasons, since it runs 24 teams and 552 matches a season. Six of the eighty-four planned calls returned HTTP 404, all for the European Championship and World Cup in years those tournaments were not held, which is expected behaviour rather than an access problem. For the incremental side, a real date-scoped pull covering one matchday across five leagues came to 20.2 KB for 20 matches, which works out at roughly 1,030 bytes per match. On that basis a daily incremental run should sit around 15 to 30 KB on match days and close to zero on rest days, or roughly 100 to 150 KB a week. The whole backfill took about nine minutes of paced calls under the free tier's 10 requests per minute limit, so rate limiting is not a practical constraint at this scale. Full breakdown is in docs/volume-estimate.md.</w:t>
      </w:r>
    </w:p>
    <w:p>
      <w:pPr>
        <w:pStyle w:val="Heading1"/>
        <w:spacing w:after="160" w:before="360"/>
      </w:pPr>
      <w:r>
        <w:rPr>
          <w:b/>
          <w:bCs/>
          <w:color w:val="1F4E79"/>
          <w:sz w:val="30"/>
          <w:szCs w:val="30"/>
        </w:rPr>
        <w:t xml:space="preserve">3. Security &amp; Compliance</w:t>
      </w:r>
    </w:p>
    <w:p>
      <w:pPr>
        <w:pStyle w:val="Heading2"/>
        <w:spacing w:after="120" w:before="240"/>
      </w:pPr>
      <w:r>
        <w:rPr>
          <w:b/>
          <w:bCs/>
          <w:color w:val="1F4E79"/>
          <w:sz w:val="24"/>
          <w:szCs w:val="24"/>
        </w:rPr>
        <w:t xml:space="preserve">3.1 PII Identification</w:t>
      </w:r>
    </w:p>
    <w:p>
      <w:pPr>
        <w:spacing w:after="160" w:line="276"/>
      </w:pPr>
      <w:r>
        <w:rPr>
          <w:sz w:val="22"/>
          <w:szCs w:val="22"/>
        </w:rPr>
        <w:t xml:space="preserve">We reviewed the raw data samples against standard PII categories (full names tied to private individuals, email addresses, phone numbers, home addresses, exact IP addresses, financial/payment details, government IDs).</w:t>
      </w:r>
    </w:p>
    <w:p>
      <w:pPr>
        <w:pStyle w:val="ListParagraph"/>
        <w:numPr>
          <w:ilvl w:val="0"/>
          <w:numId w:val="2"/>
        </w:numPr>
        <w:spacing w:after="90" w:line="276"/>
      </w:pPr>
      <w:r>
        <w:rPr>
          <w:b/>
          <w:bCs/>
          <w:sz w:val="22"/>
          <w:szCs w:val="22"/>
        </w:rPr>
        <w:t xml:space="preserve">Finding: </w:t>
      </w:r>
      <w:r>
        <w:rPr>
          <w:sz w:val="22"/>
          <w:szCs w:val="22"/>
        </w:rPr>
        <w:t xml:space="preserve">The dataset contains no traditional PII. Player, coach, and referee names refer to public professional figures acting in a public capacity (a football match), not private individuals, and the API exposes no contact details, addresses, financial information, or IP data.</w:t>
      </w:r>
    </w:p>
    <w:p>
      <w:pPr>
        <w:pStyle w:val="ListParagraph"/>
        <w:numPr>
          <w:ilvl w:val="0"/>
          <w:numId w:val="2"/>
        </w:numPr>
        <w:spacing w:after="90" w:line="276"/>
      </w:pPr>
      <w:r>
        <w:rPr>
          <w:b/>
          <w:bCs/>
          <w:sz w:val="22"/>
          <w:szCs w:val="22"/>
        </w:rPr>
        <w:t xml:space="preserve">Borderline fields noted: </w:t>
      </w:r>
      <w:r>
        <w:rPr>
          <w:sz w:val="22"/>
          <w:szCs w:val="22"/>
        </w:rPr>
        <w:t xml:space="preserve">player date of birth and nationality are present in team/squad payloads. These are quasi-identifiers rather than direct PII, but because they could theoretically contribute to re-identification if joined with other datasets, we treat them as sensitive-by-caution rather than ignoring the question entirely.</w:t>
      </w:r>
    </w:p>
    <w:p>
      <w:pPr>
        <w:pStyle w:val="Heading2"/>
        <w:spacing w:after="120" w:before="240"/>
      </w:pPr>
      <w:r>
        <w:rPr>
          <w:b/>
          <w:bCs/>
          <w:color w:val="1F4E79"/>
          <w:sz w:val="24"/>
          <w:szCs w:val="24"/>
        </w:rPr>
        <w:t xml:space="preserve">3.2 Handling Strategy</w:t>
      </w:r>
    </w:p>
    <w:p>
      <w:pPr>
        <w:spacing w:after="160" w:line="276"/>
      </w:pPr>
      <w:r>
        <w:rPr>
          <w:sz w:val="22"/>
          <w:szCs w:val="22"/>
        </w:rPr>
        <w:t xml:space="preserve">Since the dataset contains no direct PII, our strategy is primarily one of justified inclusion rather than masking:</w:t>
      </w:r>
    </w:p>
    <w:p>
      <w:pPr>
        <w:pStyle w:val="ListParagraph"/>
        <w:numPr>
          <w:ilvl w:val="0"/>
          <w:numId w:val="2"/>
        </w:numPr>
        <w:spacing w:after="90" w:line="276"/>
      </w:pPr>
      <w:r>
        <w:rPr>
          <w:b/>
          <w:bCs/>
          <w:sz w:val="22"/>
          <w:szCs w:val="22"/>
        </w:rPr>
        <w:t xml:space="preserve">No hashing/masking required for core match data: </w:t>
      </w:r>
      <w:r>
        <w:rPr>
          <w:sz w:val="22"/>
          <w:szCs w:val="22"/>
        </w:rPr>
        <w:t xml:space="preserve">match scores, dates, venues, and competition/team identifiers are public sporting-record data and will flow through Bronze → Silver → Gold unmodified.</w:t>
      </w:r>
    </w:p>
    <w:p>
      <w:pPr>
        <w:pStyle w:val="ListParagraph"/>
        <w:numPr>
          <w:ilvl w:val="0"/>
          <w:numId w:val="2"/>
        </w:numPr>
        <w:spacing w:after="90" w:line="276"/>
      </w:pPr>
      <w:r>
        <w:rPr>
          <w:b/>
          <w:bCs/>
          <w:sz w:val="22"/>
          <w:szCs w:val="22"/>
        </w:rPr>
        <w:t xml:space="preserve">Quasi-identifier fields (DOB, nationality): </w:t>
      </w:r>
      <w:r>
        <w:rPr>
          <w:sz w:val="22"/>
          <w:szCs w:val="22"/>
        </w:rPr>
        <w:t xml:space="preserve">retained at Silver granularity for legitimate analytical value (e.g., squad age profiles) but excluded from any Gold table that would be shared or exported externally, limiting exposure to within-pipeline use only.</w:t>
      </w:r>
    </w:p>
    <w:p>
      <w:pPr>
        <w:pStyle w:val="ListParagraph"/>
        <w:numPr>
          <w:ilvl w:val="0"/>
          <w:numId w:val="2"/>
        </w:numPr>
        <w:spacing w:after="90" w:line="276"/>
      </w:pPr>
      <w:r>
        <w:rPr>
          <w:b/>
          <w:bCs/>
          <w:sz w:val="22"/>
          <w:szCs w:val="22"/>
        </w:rPr>
        <w:t xml:space="preserve">Operational data hygiene: </w:t>
      </w:r>
      <w:r>
        <w:rPr>
          <w:sz w:val="22"/>
          <w:szCs w:val="22"/>
        </w:rPr>
        <w:t xml:space="preserve">any incidental request/response logs generated during API ingestion (which could contain our own API key or IP address) will be excluded from the Bronze layer and from the GitHub repository, and secrets (API keys) will be stored via environment variables / Databricks secret scopes, never committed to source control.</w:t>
      </w:r>
    </w:p>
    <w:p>
      <w:pPr>
        <w:pStyle w:val="ListParagraph"/>
        <w:numPr>
          <w:ilvl w:val="0"/>
          <w:numId w:val="2"/>
        </w:numPr>
        <w:spacing w:after="90" w:line="276"/>
      </w:pPr>
      <w:r>
        <w:rPr>
          <w:b/>
          <w:bCs/>
          <w:sz w:val="22"/>
          <w:szCs w:val="22"/>
        </w:rPr>
        <w:t xml:space="preserve">Justification: </w:t>
      </w:r>
      <w:r>
        <w:rPr>
          <w:sz w:val="22"/>
          <w:szCs w:val="22"/>
        </w:rPr>
        <w:t xml:space="preserve">This approach is explicitly documented here per the assignment's requirement to state and justify a "no PII" conclusion where applicable, while still demonstrating awareness of quasi-identifier risk.</w:t>
      </w:r>
    </w:p>
    <w:p>
      <w:pPr>
        <w:pStyle w:val="Heading1"/>
        <w:spacing w:after="160" w:before="360"/>
      </w:pPr>
      <w:r>
        <w:rPr>
          <w:b/>
          <w:bCs/>
          <w:color w:val="1F4E79"/>
          <w:sz w:val="30"/>
          <w:szCs w:val="30"/>
        </w:rPr>
        <w:t xml:space="preserve">4. High-Level Medallion Data Modeling</w:t>
      </w:r>
    </w:p>
    <w:p>
      <w:pPr>
        <w:pStyle w:val="Heading2"/>
        <w:spacing w:after="120" w:before="240"/>
      </w:pPr>
      <w:r>
        <w:rPr>
          <w:b/>
          <w:bCs/>
          <w:color w:val="1F4E79"/>
          <w:sz w:val="24"/>
          <w:szCs w:val="24"/>
        </w:rPr>
        <w:t xml:space="preserve">4.1 Bronze Layer (Raw)</w:t>
      </w:r>
    </w:p>
    <w:p>
      <w:pPr>
        <w:spacing w:after="160" w:line="276"/>
      </w:pPr>
      <w:r>
        <w:rPr>
          <w:sz w:val="22"/>
          <w:szCs w:val="22"/>
        </w:rPr>
        <w:t xml:space="preserve">Raw JSON responses are landed as-is, partitioned by ingestion date and load_type (full / incremental), with no transformation applied beyond adding ingestion metadata:</w:t>
      </w:r>
    </w:p>
    <w:p>
      <w:pPr>
        <w:pStyle w:val="ListParagraph"/>
        <w:numPr>
          <w:ilvl w:val="0"/>
          <w:numId w:val="2"/>
        </w:numPr>
        <w:spacing w:after="90" w:line="276"/>
      </w:pPr>
      <w:r>
        <w:rPr>
          <w:sz w:val="22"/>
          <w:szCs w:val="22"/>
        </w:rPr>
        <w:t>ingestion_timestamp: when the record was pulled</w:t>
      </w:r>
    </w:p>
    <w:p>
      <w:pPr>
        <w:pStyle w:val="ListParagraph"/>
        <w:numPr>
          <w:ilvl w:val="0"/>
          <w:numId w:val="2"/>
        </w:numPr>
        <w:spacing w:after="90" w:line="276"/>
      </w:pPr>
      <w:r>
        <w:rPr>
          <w:sz w:val="22"/>
          <w:szCs w:val="22"/>
        </w:rPr>
        <w:t>source_endpoint: which API endpoint produced it</w:t>
      </w:r>
    </w:p>
    <w:p>
      <w:pPr>
        <w:pStyle w:val="ListParagraph"/>
        <w:numPr>
          <w:ilvl w:val="0"/>
          <w:numId w:val="2"/>
        </w:numPr>
        <w:spacing w:after="90" w:line="276"/>
      </w:pPr>
      <w:r>
        <w:rPr>
          <w:sz w:val="22"/>
          <w:szCs w:val="22"/>
        </w:rPr>
        <w:t>load_type: FULL or INCREMENTAL</w:t>
      </w:r>
    </w:p>
    <w:p>
      <w:pPr>
        <w:pStyle w:val="ListParagraph"/>
        <w:numPr>
          <w:ilvl w:val="0"/>
          <w:numId w:val="2"/>
        </w:numPr>
        <w:spacing w:after="90" w:line="276"/>
      </w:pPr>
      <w:r>
        <w:rPr>
          <w:sz w:val="22"/>
          <w:szCs w:val="22"/>
        </w:rPr>
        <w:t>batch_id: groups records from the same pipeline run</w:t>
      </w:r>
    </w:p>
    <w:p>
      <w:pPr>
        <w:pStyle w:val="Heading2"/>
        <w:spacing w:after="120" w:before="240"/>
      </w:pPr>
      <w:r>
        <w:rPr>
          <w:b/>
          <w:bCs/>
          <w:color w:val="1F4E79"/>
          <w:sz w:val="24"/>
          <w:szCs w:val="24"/>
        </w:rPr>
        <w:t xml:space="preserve">4.2 Bronze → Silver: Cleaning &amp; Conformance</w:t>
      </w:r>
    </w:p>
    <w:p>
      <w:pPr>
        <w:spacing w:after="160" w:line="276"/>
      </w:pPr>
      <w:r>
        <w:rPr>
          <w:sz w:val="22"/>
          <w:szCs w:val="22"/>
        </w:rPr>
        <w:t xml:space="preserve">The following transformations move data from raw to cleansed:</w:t>
      </w:r>
    </w:p>
    <w:p>
      <w:pPr>
        <w:pStyle w:val="ListParagraph"/>
        <w:numPr>
          <w:ilvl w:val="0"/>
          <w:numId w:val="2"/>
        </w:numPr>
        <w:spacing w:after="90" w:line="276"/>
      </w:pPr>
      <w:r>
        <w:rPr>
          <w:sz w:val="22"/>
          <w:szCs w:val="22"/>
        </w:rPr>
        <w:t xml:space="preserve">Flatten nested JSON (score, referees, standings arrays) into tabular rows using Spark's explode / struct field access.</w:t>
      </w:r>
    </w:p>
    <w:p>
      <w:pPr>
        <w:pStyle w:val="ListParagraph"/>
        <w:numPr>
          <w:ilvl w:val="0"/>
          <w:numId w:val="2"/>
        </w:numPr>
        <w:spacing w:after="90" w:line="276"/>
      </w:pPr>
      <w:r>
        <w:rPr>
          <w:sz w:val="22"/>
          <w:szCs w:val="22"/>
        </w:rPr>
        <w:t xml:space="preserve">Cast and standardize types: match date/time strings → TimestampType (UTC-normalized), scores → IntegerType, IDs → LongType.</w:t>
      </w:r>
    </w:p>
    <w:p>
      <w:pPr>
        <w:pStyle w:val="ListParagraph"/>
        <w:numPr>
          <w:ilvl w:val="0"/>
          <w:numId w:val="2"/>
        </w:numPr>
        <w:spacing w:after="90" w:line="276"/>
      </w:pPr>
      <w:r>
        <w:rPr>
          <w:sz w:val="22"/>
          <w:szCs w:val="22"/>
        </w:rPr>
        <w:t xml:space="preserve">Deduplicate on (match_id, last_updated) to keep only the latest version of a record when a match appears in both a full and a later incremental pull.</w:t>
      </w:r>
    </w:p>
    <w:p>
      <w:pPr>
        <w:pStyle w:val="ListParagraph"/>
        <w:numPr>
          <w:ilvl w:val="0"/>
          <w:numId w:val="2"/>
        </w:numPr>
        <w:spacing w:after="90" w:line="276"/>
      </w:pPr>
      <w:r>
        <w:rPr>
          <w:sz w:val="22"/>
          <w:szCs w:val="22"/>
        </w:rPr>
        <w:t>Handle nulls and edge cases: postponed or not-yet-played matches carry null scores, so we flag them with a match_status column (SCHEDULED, FINISHED, POSTPONED) instead of dropping the rows.</w:t>
      </w:r>
    </w:p>
    <w:p>
      <w:pPr>
        <w:pStyle w:val="ListParagraph"/>
        <w:numPr>
          <w:ilvl w:val="0"/>
          <w:numId w:val="2"/>
        </w:numPr>
        <w:spacing w:after="90" w:line="276"/>
      </w:pPr>
      <w:r>
        <w:rPr>
          <w:sz w:val="22"/>
          <w:szCs w:val="22"/>
        </w:rPr>
        <w:t xml:space="preserve">Standardize reference values: consistent team names/short codes and competition codes across seasons (some teams change sponsor-prefixed names year to year).</w:t>
      </w:r>
    </w:p>
    <w:p>
      <w:pPr>
        <w:spacing w:after="160" w:line="276"/>
      </w:pPr>
      <w:r>
        <w:rPr>
          <w:sz w:val="22"/>
          <w:szCs w:val="22"/>
        </w:rPr>
        <w:t>The Silver layer lands as four conformed tables: silver_matches (one row per match), silver_teams (team and squad reference data, SCD-lite with an as_of date), silver_standings (one row per team per matchday snapshot), and silver_scorers (flattened player scoring records).</w:t>
      </w:r>
    </w:p>
    <w:p>
      <w:pPr>
        <w:pStyle w:val="Heading2"/>
        <w:spacing w:after="120" w:before="240"/>
      </w:pPr>
      <w:r>
        <w:rPr>
          <w:b/>
          <w:bCs/>
          <w:color w:val="1F4E79"/>
          <w:sz w:val="24"/>
          <w:szCs w:val="24"/>
        </w:rPr>
        <w:t xml:space="preserve">4.3 Gold Layer (Business-Ready)</w:t>
      </w:r>
    </w:p>
    <w:p>
      <w:pPr>
        <w:spacing w:after="160" w:line="276"/>
      </w:pPr>
      <w:r>
        <w:rPr>
          <w:sz w:val="22"/>
          <w:szCs w:val="22"/>
        </w:rPr>
        <w:t xml:space="preserve">The Gold layer follows a dimensional (star schema) design for BI consumption:</w:t>
      </w:r>
    </w:p>
    <w:p>
      <w:pPr>
        <w:pStyle w:val="ListParagraph"/>
        <w:numPr>
          <w:ilvl w:val="0"/>
          <w:numId w:val="2"/>
        </w:numPr>
        <w:spacing w:after="90" w:line="276"/>
      </w:pPr>
      <w:r>
        <w:rPr>
          <w:b/>
          <w:bCs/>
          <w:sz w:val="22"/>
          <w:szCs w:val="22"/>
        </w:rPr>
        <w:t>fact_matches, at one row per match, with foreign keys to the team, competition and date dimensions and measures for goals_home, goals_away, result and matchday.</w:t>
      </w:r>
      <w:r>
        <w:rPr>
          <w:sz w:val="22"/>
          <w:szCs w:val="22"/>
        </w:rPr>
      </w:r>
    </w:p>
    <w:p>
      <w:pPr>
        <w:pStyle w:val="ListParagraph"/>
        <w:numPr>
          <w:ilvl w:val="0"/>
          <w:numId w:val="2"/>
        </w:numPr>
        <w:spacing w:after="90" w:line="276"/>
      </w:pPr>
      <w:r>
        <w:rPr>
          <w:b/>
          <w:bCs/>
          <w:sz w:val="22"/>
          <w:szCs w:val="22"/>
        </w:rPr>
        <w:t>dim_team, dim_competition, dim_date and dim_player, the conformed dimensions that let analysts slice by team, league, season, time and player.</w:t>
      </w:r>
      <w:r>
        <w:rPr>
          <w:sz w:val="22"/>
          <w:szCs w:val="22"/>
        </w:rPr>
      </w:r>
    </w:p>
    <w:p>
      <w:pPr>
        <w:pStyle w:val="ListParagraph"/>
        <w:numPr>
          <w:ilvl w:val="0"/>
          <w:numId w:val="2"/>
        </w:numPr>
        <w:spacing w:after="90" w:line="276"/>
      </w:pPr>
      <w:r>
        <w:rPr>
          <w:b/>
          <w:bCs/>
          <w:sz w:val="22"/>
          <w:szCs w:val="22"/>
        </w:rPr>
        <w:t>agg_team_season_performance, a pre-aggregated table of wins, draws, losses, goals for and against, and points by team per season, feeding the standings and trend visuals directly.</w:t>
      </w:r>
      <w:r>
        <w:rPr>
          <w:sz w:val="22"/>
          <w:szCs w:val="22"/>
        </w:rPr>
      </w:r>
    </w:p>
    <w:p>
      <w:pPr>
        <w:pStyle w:val="ListParagraph"/>
        <w:numPr>
          <w:ilvl w:val="0"/>
          <w:numId w:val="2"/>
        </w:numPr>
        <w:spacing w:after="90" w:line="276"/>
      </w:pPr>
      <w:r>
        <w:rPr>
          <w:b/>
          <w:bCs/>
          <w:sz w:val="22"/>
          <w:szCs w:val="22"/>
        </w:rPr>
        <w:t>agg_home_away_split, aggregated home and away performance per team, built for the home/away comparison visual. fact_top_scorers, one row per player per competition per season with goals, assists and team, sourced from the scorers endpoint. Note that this gives season totals rather than per-match detail, since the free API does not expose goal-by-goal events. If a finer scoring trend is needed later, it can be derived by snapshotting the scorers endpoint on each incremental run and diffing consecutive snapshots per player.</w:t>
      </w:r>
      <w:r>
        <w:rPr>
          <w:sz w:val="22"/>
          <w:szCs w:val="22"/>
        </w:rPr>
      </w:r>
    </w:p>
    <w:p>
      <w:pPr>
        <w:pStyle w:val="Heading1"/>
        <w:spacing w:after="160" w:before="360"/>
      </w:pPr>
      <w:r>
        <w:rPr>
          <w:b/>
          <w:bCs/>
          <w:color w:val="1F4E79"/>
          <w:sz w:val="30"/>
          <w:szCs w:val="30"/>
        </w:rPr>
        <w:t xml:space="preserve">5. Business Intelligence &amp; Dashboards</w:t>
      </w:r>
    </w:p>
    <w:p>
      <w:pPr>
        <w:spacing w:after="160" w:line="276"/>
      </w:pPr>
      <w:r>
        <w:rPr>
          <w:sz w:val="22"/>
          <w:szCs w:val="22"/>
        </w:rPr>
        <w:t xml:space="preserve">A Power BI dashboard, "Football Performance &amp; Trends," will be built on top of the Gold layer to answer three core business questions:</w:t>
      </w:r>
    </w:p>
    <w:p>
      <w:pPr>
        <w:pStyle w:val="ListParagraph"/>
        <w:numPr>
          <w:ilvl w:val="0"/>
          <w:numId w:val="2"/>
        </w:numPr>
        <w:spacing w:after="90" w:line="276"/>
      </w:pPr>
      <w:r>
        <w:rPr>
          <w:sz w:val="22"/>
          <w:szCs w:val="22"/>
        </w:rPr>
        <w:t xml:space="preserve">Which teams are performing best this season, and how has that changed over time?</w:t>
      </w:r>
    </w:p>
    <w:p>
      <w:pPr>
        <w:pStyle w:val="ListParagraph"/>
        <w:numPr>
          <w:ilvl w:val="0"/>
          <w:numId w:val="2"/>
        </w:numPr>
        <w:spacing w:after="90" w:line="276"/>
      </w:pPr>
      <w:r>
        <w:rPr>
          <w:sz w:val="22"/>
          <w:szCs w:val="22"/>
        </w:rPr>
        <w:t xml:space="preserve">Do teams perform meaningfully better at home than away, and by how much?</w:t>
      </w:r>
    </w:p>
    <w:p>
      <w:pPr>
        <w:pStyle w:val="ListParagraph"/>
        <w:numPr>
          <w:ilvl w:val="0"/>
          <w:numId w:val="2"/>
        </w:numPr>
        <w:spacing w:after="90" w:line="276"/>
      </w:pPr>
      <w:r>
        <w:rPr>
          <w:sz w:val="22"/>
          <w:szCs w:val="22"/>
        </w:rPr>
        <w:t>Who are this season's top scorers across the tracked leagues, and which teams are they concentrated in?</w:t>
      </w:r>
    </w:p>
    <w:p>
      <w:pPr>
        <w:pStyle w:val="Heading2"/>
        <w:spacing w:after="120" w:before="240"/>
      </w:pPr>
      <w:r>
        <w:rPr>
          <w:b/>
          <w:bCs/>
          <w:color w:val="1F4E79"/>
          <w:sz w:val="24"/>
          <w:szCs w:val="24"/>
        </w:rPr>
        <w:t xml:space="preserve">5.1 Planned Visuals</w:t>
      </w:r>
    </w:p>
    <w:p>
      <w:pPr>
        <w:pStyle w:val="ListParagraph"/>
        <w:numPr>
          <w:ilvl w:val="0"/>
          <w:numId w:val="2"/>
        </w:numPr>
        <w:spacing w:after="90" w:line="276"/>
      </w:pPr>
      <w:r>
        <w:rPr>
          <w:b/>
          <w:bCs/>
          <w:sz w:val="22"/>
          <w:szCs w:val="22"/>
        </w:rPr>
        <w:t xml:space="preserve">League standings &amp; points trend: </w:t>
      </w:r>
      <w:r>
        <w:rPr>
          <w:sz w:val="22"/>
          <w:szCs w:val="22"/>
        </w:rPr>
        <w:t xml:space="preserve">a ranked table plus a line chart of cumulative points by matchday per team, sourced from agg_team_season_performance.</w:t>
      </w:r>
    </w:p>
    <w:p>
      <w:pPr>
        <w:pStyle w:val="ListParagraph"/>
        <w:numPr>
          <w:ilvl w:val="0"/>
          <w:numId w:val="2"/>
        </w:numPr>
        <w:spacing w:after="90" w:line="276"/>
      </w:pPr>
      <w:r>
        <w:rPr>
          <w:b/>
          <w:bCs/>
          <w:sz w:val="22"/>
          <w:szCs w:val="22"/>
        </w:rPr>
        <w:t xml:space="preserve">Home vs. away performance comparison: </w:t>
      </w:r>
      <w:r>
        <w:rPr>
          <w:sz w:val="22"/>
          <w:szCs w:val="22"/>
        </w:rPr>
        <w:t xml:space="preserve">a clustered bar chart of win/draw/loss rate and average goals split by home/away, sourced from agg_home_away_split.</w:t>
      </w:r>
    </w:p>
    <w:p>
      <w:pPr>
        <w:pStyle w:val="ListParagraph"/>
        <w:numPr>
          <w:ilvl w:val="0"/>
          <w:numId w:val="2"/>
        </w:numPr>
        <w:spacing w:after="90" w:line="276"/>
      </w:pPr>
      <w:r>
        <w:rPr>
          <w:b/>
          <w:bCs/>
          <w:sz w:val="22"/>
          <w:szCs w:val="22"/>
        </w:rPr>
        <w:t>Top scorers leaderboard &amp; team goal-scoring heatmap: a bar chart ranking this season's leading scorers by team (fact_top_scorers), alongside a matrix/heatmap of goals scored per team per matchday, highlighting scoring streaks and slumps at the team level (fact_matches).</w:t>
      </w:r>
      <w:r>
        <w:rPr>
          <w:sz w:val="22"/>
          <w:szCs w:val="22"/>
        </w:rPr>
      </w:r>
    </w:p>
    <w:p>
      <w:pPr>
        <w:pStyle w:val="Heading1"/>
        <w:spacing w:after="160" w:before="360"/>
      </w:pPr>
      <w:r>
        <w:rPr>
          <w:b/>
          <w:bCs/>
          <w:color w:val="1F4E79"/>
          <w:sz w:val="30"/>
          <w:szCs w:val="30"/>
        </w:rPr>
        <w:t xml:space="preserve">6. Engineering Setup &amp; FinOps</w:t>
      </w:r>
    </w:p>
    <w:p>
      <w:pPr>
        <w:pStyle w:val="Heading2"/>
        <w:spacing w:after="120" w:before="240"/>
      </w:pPr>
      <w:r>
        <w:rPr>
          <w:b/>
          <w:bCs/>
          <w:color w:val="1F4E79"/>
          <w:sz w:val="24"/>
          <w:szCs w:val="24"/>
        </w:rPr>
        <w:t xml:space="preserve">6.1 Version Control</w:t>
      </w:r>
    </w:p>
    <w:p>
      <w:pPr>
        <w:spacing w:after="160" w:line="276"/>
      </w:pPr>
      <w:r>
        <w:rPr>
          <w:sz w:val="22"/>
          <w:szCs w:val="22"/>
        </w:rPr>
        <w:t xml:space="preserve">A GitHub repository holds the project code (Spark notebooks and scripts for Bronze, Silver and Gold), the sample raw data files, the API verification and volume notes, and this proposal. Repository: </w:t>
      </w:r>
      <w:hyperlink r:id="rId8">
        <w:r>
          <w:rPr>
            <w:color w:val="0563C1"/>
            <w:u w:val="single"/>
          </w:rPr>
          <w:t>https://github.com/AbdulahAzmat/football-analytics-lakehouse</w:t>
        </w:r>
      </w:hyperlink>
      <w:r>
        <w:t xml:space="preserve">. Sample dataset folder: </w:t>
      </w:r>
      <w:hyperlink r:id="rId9">
        <w:r>
          <w:rPr>
            <w:color w:val="0563C1"/>
            <w:u w:val="single"/>
          </w:rPr>
          <w:t>https://github.com/AbdulahAzmat/football-analytics-lakehouse/tree/main/data/samples</w:t>
        </w:r>
      </w:hyperlink>
      <w:r>
        <w:t>.</w:t>
      </w:r>
    </w:p>
    <w:p>
      <w:pPr>
        <w:pStyle w:val="Heading2"/>
        <w:spacing w:after="120" w:before="240"/>
      </w:pPr>
      <w:r>
        <w:rPr>
          <w:b/>
          <w:bCs/>
          <w:color w:val="1F4E79"/>
          <w:sz w:val="24"/>
          <w:szCs w:val="24"/>
        </w:rPr>
        <w:t xml:space="preserve">6.2 Infrastructure</w:t>
      </w:r>
    </w:p>
    <w:p>
      <w:pPr>
        <w:spacing w:after="160" w:line="276"/>
      </w:pPr>
      <w:r>
        <w:rPr>
          <w:sz w:val="22"/>
          <w:szCs w:val="22"/>
        </w:rPr>
        <w:t xml:space="preserve">The pipeline will be built and run on Databricks Community Edition, using a single small free-tier cluster for all Spark (PySpark) transformation jobs across Bronze, Silver, and Gold layers.</w:t>
      </w:r>
    </w:p>
    <w:p>
      <w:pPr>
        <w:pStyle w:val="Heading2"/>
        <w:spacing w:after="120" w:before="240"/>
      </w:pPr>
      <w:r>
        <w:rPr>
          <w:b/>
          <w:bCs/>
          <w:color w:val="1F4E79"/>
          <w:sz w:val="24"/>
          <w:szCs w:val="24"/>
        </w:rPr>
        <w:t xml:space="preserve">6.3 Cost / FinOps Awareness</w:t>
      </w:r>
    </w:p>
    <w:p>
      <w:pPr>
        <w:pStyle w:val="ListParagraph"/>
        <w:numPr>
          <w:ilvl w:val="0"/>
          <w:numId w:val="2"/>
        </w:numPr>
        <w:spacing w:after="90" w:line="276"/>
      </w:pPr>
      <w:r>
        <w:rPr>
          <w:b/>
          <w:bCs/>
          <w:sz w:val="22"/>
          <w:szCs w:val="22"/>
        </w:rPr>
        <w:t xml:space="preserve">API quota management: </w:t>
      </w:r>
      <w:r>
        <w:rPr>
          <w:sz w:val="22"/>
          <w:szCs w:val="22"/>
        </w:rPr>
        <w:t xml:space="preserve">daily incremental pulls are scheduled once per day and scoped to only the competitions/date ranges we track, staying well under the 10 requests/minute free-tier limit.</w:t>
      </w:r>
    </w:p>
    <w:p>
      <w:pPr>
        <w:pStyle w:val="ListParagraph"/>
        <w:numPr>
          <w:ilvl w:val="0"/>
          <w:numId w:val="2"/>
        </w:numPr>
        <w:spacing w:after="90" w:line="276"/>
      </w:pPr>
      <w:r>
        <w:rPr>
          <w:b/>
          <w:bCs/>
          <w:sz w:val="22"/>
          <w:szCs w:val="22"/>
        </w:rPr>
        <w:t xml:space="preserve">Compute discipline: </w:t>
      </w:r>
      <w:r>
        <w:rPr>
          <w:sz w:val="22"/>
          <w:szCs w:val="22"/>
        </w:rPr>
        <w:t xml:space="preserve">Databricks Community Edition clusters auto-terminate after inactivity; we will avoid leaving clusters running idle and will batch development/testing to minimize cluster start-stop cycles.</w:t>
      </w:r>
    </w:p>
    <w:p>
      <w:pPr>
        <w:pStyle w:val="ListParagraph"/>
        <w:numPr>
          <w:ilvl w:val="0"/>
          <w:numId w:val="2"/>
        </w:numPr>
        <w:spacing w:after="90" w:line="276"/>
      </w:pPr>
      <w:r>
        <w:rPr>
          <w:b/>
          <w:bCs/>
          <w:sz w:val="22"/>
          <w:szCs w:val="22"/>
        </w:rPr>
        <w:t>Storage discipline: Bronze data stays scoped to the twelve free-tier competitions and four seasons (2023/24 through the current one, see Section 2.2) rather than every competition and season the API exposes, keeping total storage in the tens of MB and well inside free-tier DBFS limits.</w:t>
      </w:r>
      <w:r>
        <w:rPr>
          <w:sz w:val="22"/>
          <w:szCs w:val="22"/>
        </w:rPr>
      </w:r>
    </w:p>
    <w:p>
      <w:pPr>
        <w:pStyle w:val="ListParagraph"/>
        <w:numPr>
          <w:ilvl w:val="0"/>
          <w:numId w:val="2"/>
        </w:numPr>
        <w:spacing w:after="90" w:line="276"/>
      </w:pPr>
      <w:r>
        <w:rPr>
          <w:b/>
          <w:bCs/>
          <w:sz w:val="22"/>
          <w:szCs w:val="22"/>
        </w:rPr>
        <w:t xml:space="preserve">Testing strategy: </w:t>
      </w:r>
      <w:r>
        <w:rPr>
          <w:sz w:val="22"/>
          <w:szCs w:val="22"/>
        </w:rPr>
        <w:t xml:space="preserve">pipeline logic will be developed and unit-tested against the small sample files (Section 2.1) before being run against the full historical dataset, minimizing wasted compute cycles from failed full-scale runs.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AbdulahAzmat/football-analytics-lakehouse" TargetMode="External"/><Relationship Id="rId9" Type="http://schemas.openxmlformats.org/officeDocument/2006/relationships/hyperlink" Target="https://github.com/AbdulahAzmat/football-analytics-lakehouse/tree/main/data/sample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2026-09-25T17:45:49.762Z</dcterms:created>
  <dcterms:modified xsi:type="dcterms:W3CDTF">2026-09-25T17:45:49.771Z</dcterms:modified>
</cp:coreProperties>
</file>

<file path=docProps/custom.xml><?xml version="1.0" encoding="utf-8"?>
<Properties xmlns="http://schemas.openxmlformats.org/officeDocument/2006/custom-properties" xmlns:vt="http://schemas.openxmlformats.org/officeDocument/2006/docPropsVTypes"/>
</file>