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b/>
          <w:bCs/>
          <w:color w:val="1F4E79"/>
          <w:sz w:val="44"/>
          <w:szCs w:val="44"/>
        </w:rPr>
        <w:t xml:space="preserve">Football Analytics Lakehouse</w:t>
      </w:r>
    </w:p>
    <w:p>
      <w:pPr>
        <w:spacing w:after="400"/>
        <w:jc w:val="center"/>
      </w:pPr>
      <w:r>
        <w:rPr>
          <w:i/>
          <w:iCs/>
          <w:color w:val="444444"/>
          <w:sz w:val="24"/>
          <w:szCs w:val="24"/>
        </w:rPr>
        <w:t xml:space="preserve">An End-to-End Medallion Architecture Data Pipeline for Football Match &amp; Performance Analytics</w:t>
      </w:r>
    </w:p>
    <w:p>
      <w:pPr>
        <w:spacing w:after="100"/>
        <w:jc w:val="center"/>
      </w:pPr>
      <w:r>
        <w:rPr>
          <w:b/>
          <w:bCs/>
          <w:sz w:val="26"/>
          <w:szCs w:val="26"/>
        </w:rPr>
        <w:t xml:space="preserve">Phase 1 — Project Proposal</w:t>
      </w:r>
    </w:p>
    <w:p>
      <w:pPr>
        <w:spacing w:after="600"/>
        <w:jc w:val="center"/>
      </w:pPr>
      <w:r>
        <w:rPr>
          <w:color w:val="555555"/>
          <w:sz w:val="22"/>
          <w:szCs w:val="22"/>
        </w:rPr>
        <w:t xml:space="preserve">Data Engineering — Semester Project</w:t>
      </w:r>
    </w:p>
    <w:tbl>
      <w:tblPr>
        <w:tblW w:type="dxa" w:w="6500"/>
        <w:jc w:val="center"/>
        <w:tblBorders>
          <w:top w:val="single" w:color="AAAAAA" w:sz="4"/>
          <w:left w:val="single" w:color="AAAAAA" w:sz="4"/>
          <w:bottom w:val="single" w:color="AAAAAA" w:sz="4"/>
          <w:right w:val="single" w:color="AAAAAA" w:sz="4"/>
          <w:insideH w:val="single" w:color="AAAAAA" w:sz="4"/>
          <w:insideV w:val="single" w:color="AAAAAA" w:sz="4"/>
        </w:tblBorders>
      </w:tblPr>
      <w:tblGrid>
        <w:gridCol w:w="2200"/>
        <w:gridCol w:w="4300"/>
      </w:tblGrid>
      <w:tr>
        <w:tc>
          <w:tcPr>
            <w:tcW w:type="dxa" w:w="2200"/>
            <w:shd w:fill="1F4E79" w:val="clear"/>
            <w:tcMar>
              <w:top w:type="dxa" w:w="100"/>
              <w:left w:type="dxa" w:w="120"/>
              <w:bottom w:type="dxa" w:w="100"/>
              <w:right w:type="dxa" w:w="120"/>
            </w:tcMar>
          </w:tcPr>
          <w:p>
            <w:r>
              <w:rPr>
                <w:b/>
                <w:bCs/>
                <w:color w:val="FFFFFF"/>
                <w:sz w:val="20"/>
                <w:szCs w:val="20"/>
              </w:rPr>
              <w:t xml:space="preserve">Team Member 1</w:t>
            </w:r>
          </w:p>
        </w:tc>
        <w:tc>
          <w:tcPr>
            <w:tcW w:type="dxa" w:w="4300"/>
            <w:tcMar>
              <w:top w:type="dxa" w:w="100"/>
              <w:left w:type="dxa" w:w="120"/>
              <w:bottom w:type="dxa" w:w="100"/>
              <w:right w:type="dxa" w:w="120"/>
            </w:tcMar>
          </w:tcPr>
          <w:p>
            <w:r>
              <w:rPr>
                <w:b w:val="false"/>
                <w:bCs w:val="false"/>
                <w:color w:val="000000"/>
                <w:sz w:val="20"/>
                <w:szCs w:val="20"/>
              </w:rPr>
              <w:t xml:space="preserve">Muhammad Usaid Chaudhry — 23L-2538</w:t>
            </w:r>
          </w:p>
        </w:tc>
      </w:tr>
      <w:tr>
        <w:tc>
          <w:tcPr>
            <w:tcW w:type="dxa" w:w="2200"/>
            <w:shd w:fill="1F4E79" w:val="clear"/>
            <w:tcMar>
              <w:top w:type="dxa" w:w="100"/>
              <w:left w:type="dxa" w:w="120"/>
              <w:bottom w:type="dxa" w:w="100"/>
              <w:right w:type="dxa" w:w="120"/>
            </w:tcMar>
          </w:tcPr>
          <w:p>
            <w:r>
              <w:rPr>
                <w:b/>
                <w:bCs/>
                <w:color w:val="FFFFFF"/>
                <w:sz w:val="20"/>
                <w:szCs w:val="20"/>
              </w:rPr>
              <w:t xml:space="preserve">Team Member 2</w:t>
            </w:r>
          </w:p>
        </w:tc>
        <w:tc>
          <w:tcPr>
            <w:tcW w:type="dxa" w:w="4300"/>
            <w:tcMar>
              <w:top w:type="dxa" w:w="100"/>
              <w:left w:type="dxa" w:w="120"/>
              <w:bottom w:type="dxa" w:w="100"/>
              <w:right w:type="dxa" w:w="120"/>
            </w:tcMar>
          </w:tcPr>
          <w:p>
            <w:r>
              <w:rPr>
                <w:b w:val="false"/>
                <w:bCs w:val="false"/>
                <w:color w:val="000000"/>
                <w:sz w:val="20"/>
                <w:szCs w:val="20"/>
              </w:rPr>
              <w:t xml:space="preserve">[Teammate Name — Roll Number]</w:t>
            </w:r>
          </w:p>
        </w:tc>
      </w:tr>
      <w:tr>
        <w:tc>
          <w:tcPr>
            <w:tcW w:type="dxa" w:w="2200"/>
            <w:shd w:fill="1F4E79" w:val="clear"/>
            <w:tcMar>
              <w:top w:type="dxa" w:w="100"/>
              <w:left w:type="dxa" w:w="120"/>
              <w:bottom w:type="dxa" w:w="100"/>
              <w:right w:type="dxa" w:w="120"/>
            </w:tcMar>
          </w:tcPr>
          <w:p>
            <w:r>
              <w:rPr>
                <w:b/>
                <w:bCs/>
                <w:color w:val="FFFFFF"/>
                <w:sz w:val="20"/>
                <w:szCs w:val="20"/>
              </w:rPr>
              <w:t xml:space="preserve">Program</w:t>
            </w:r>
          </w:p>
        </w:tc>
        <w:tc>
          <w:tcPr>
            <w:tcW w:type="dxa" w:w="4300"/>
            <w:tcMar>
              <w:top w:type="dxa" w:w="100"/>
              <w:left w:type="dxa" w:w="120"/>
              <w:bottom w:type="dxa" w:w="100"/>
              <w:right w:type="dxa" w:w="120"/>
            </w:tcMar>
          </w:tcPr>
          <w:p>
            <w:r>
              <w:rPr>
                <w:b w:val="false"/>
                <w:bCs w:val="false"/>
                <w:color w:val="000000"/>
                <w:sz w:val="20"/>
                <w:szCs w:val="20"/>
              </w:rPr>
              <w:t xml:space="preserve">BS Data Science, FAST-NUCES Lahore</w:t>
            </w:r>
          </w:p>
        </w:tc>
      </w:tr>
      <w:tr>
        <w:tc>
          <w:tcPr>
            <w:tcW w:type="dxa" w:w="2200"/>
            <w:shd w:fill="1F4E79" w:val="clear"/>
            <w:tcMar>
              <w:top w:type="dxa" w:w="100"/>
              <w:left w:type="dxa" w:w="120"/>
              <w:bottom w:type="dxa" w:w="100"/>
              <w:right w:type="dxa" w:w="120"/>
            </w:tcMar>
          </w:tcPr>
          <w:p>
            <w:r>
              <w:rPr>
                <w:b/>
                <w:bCs/>
                <w:color w:val="FFFFFF"/>
                <w:sz w:val="20"/>
                <w:szCs w:val="20"/>
              </w:rPr>
              <w:t xml:space="preserve">GitHub Repository</w:t>
            </w:r>
          </w:p>
        </w:tc>
        <w:tc>
          <w:tcPr>
            <w:tcW w:type="dxa" w:w="4300"/>
            <w:tcMar>
              <w:top w:type="dxa" w:w="100"/>
              <w:left w:type="dxa" w:w="120"/>
              <w:bottom w:type="dxa" w:w="100"/>
              <w:right w:type="dxa" w:w="120"/>
            </w:tcMar>
          </w:tcPr>
          <w:p>
            <w:r>
              <w:rPr>
                <w:b w:val="false"/>
                <w:bCs w:val="false"/>
                <w:color w:val="000000"/>
                <w:sz w:val="20"/>
                <w:szCs w:val="20"/>
              </w:rPr>
              <w:t xml:space="preserve">[Insert repository link here]</w:t>
            </w:r>
          </w:p>
        </w:tc>
      </w:tr>
      <w:tr>
        <w:tc>
          <w:tcPr>
            <w:tcW w:type="dxa" w:w="2200"/>
            <w:shd w:fill="1F4E79" w:val="clear"/>
            <w:tcMar>
              <w:top w:type="dxa" w:w="100"/>
              <w:left w:type="dxa" w:w="120"/>
              <w:bottom w:type="dxa" w:w="100"/>
              <w:right w:type="dxa" w:w="120"/>
            </w:tcMar>
          </w:tcPr>
          <w:p>
            <w:r>
              <w:rPr>
                <w:b/>
                <w:bCs/>
                <w:color w:val="FFFFFF"/>
                <w:sz w:val="20"/>
                <w:szCs w:val="20"/>
              </w:rPr>
              <w:t xml:space="preserve">Submission Date</w:t>
            </w:r>
          </w:p>
        </w:tc>
        <w:tc>
          <w:tcPr>
            <w:tcW w:type="dxa" w:w="4300"/>
            <w:tcMar>
              <w:top w:type="dxa" w:w="100"/>
              <w:left w:type="dxa" w:w="120"/>
              <w:bottom w:type="dxa" w:w="100"/>
              <w:right w:type="dxa" w:w="120"/>
            </w:tcMar>
          </w:tcPr>
          <w:p>
            <w:r>
              <w:rPr>
                <w:b w:val="false"/>
                <w:bCs w:val="false"/>
                <w:color w:val="000000"/>
                <w:sz w:val="20"/>
                <w:szCs w:val="20"/>
              </w:rPr>
              <w:t xml:space="preserve">[Insert date]</w:t>
            </w:r>
          </w:p>
        </w:tc>
      </w:tr>
    </w:tbl>
    <w:p>
      <w:r>
        <w:br w:type="page"/>
      </w:r>
    </w:p>
    <w:p>
      <w:r>
        <w:t>Group Members: Abdullah (23L-2611, BDS-7A), Usaid Chaudhary (23L-2538)</w:t>
      </w:r>
    </w:p>
    <w:p>
      <w:pPr>
        <w:pStyle w:val="Heading1"/>
        <w:spacing w:after="160" w:before="360"/>
      </w:pPr>
      <w:r>
        <w:rPr>
          <w:b/>
          <w:bCs/>
          <w:color w:val="1F4E79"/>
          <w:sz w:val="30"/>
          <w:szCs w:val="30"/>
        </w:rPr>
        <w:t xml:space="preserve">1. Domain &amp; Source Identification</w:t>
      </w:r>
    </w:p>
    <w:p>
      <w:pPr>
        <w:pStyle w:val="Heading2"/>
        <w:spacing w:after="120" w:before="240"/>
      </w:pPr>
      <w:r>
        <w:rPr>
          <w:b/>
          <w:bCs/>
          <w:color w:val="1F4E79"/>
          <w:sz w:val="24"/>
          <w:szCs w:val="24"/>
        </w:rPr>
        <w:t xml:space="preserve">1.1 Project Concept</w:t>
      </w:r>
    </w:p>
    <w:p>
      <w:pPr>
        <w:spacing w:after="160" w:line="276"/>
      </w:pPr>
      <w:r>
        <w:rPr>
          <w:sz w:val="22"/>
          <w:szCs w:val="22"/>
        </w:rPr>
        <w:t xml:space="preserve">Our project operates in the football (soccer) analytics domain. Football generates continuous, high-frequency structured data — fixtures, results, standings, and team/player metadata — across dozens of competitions worldwide, refreshed on a near-daily basis during active seasons. This makes it a strong fit for a Medallion Architecture pipeline: it naturally supports both a large historical backfill (full load) and a small, frequent stream of updates (incremental load), while remaining light enough to stay within free-tier compute and storage limits.</w:t>
      </w:r>
    </w:p>
    <w:p>
      <w:pPr>
        <w:spacing w:after="160" w:line="276"/>
      </w:pPr>
      <w:r>
        <w:rPr>
          <w:sz w:val="22"/>
          <w:szCs w:val="22"/>
        </w:rPr>
        <w:t xml:space="preserve">The pipeline will ingest raw match, team, competition, and standings data, progressively clean and conform it through Bronze and Silver layers, and model it into an analytics-ready Gold layer that answers real business questions about team performance, scoring trends, and home/away form.</w:t>
      </w:r>
    </w:p>
    <w:p>
      <w:pPr>
        <w:pStyle w:val="Heading2"/>
        <w:spacing w:after="120" w:before="240"/>
      </w:pPr>
      <w:r>
        <w:rPr>
          <w:b/>
          <w:bCs/>
          <w:color w:val="1F4E79"/>
          <w:sz w:val="24"/>
          <w:szCs w:val="24"/>
        </w:rPr>
        <w:t xml:space="preserve">1.2 Data Source</w:t>
      </w:r>
    </w:p>
    <w:p>
      <w:pPr>
        <w:pStyle w:val="ListParagraph"/>
        <w:numPr>
          <w:ilvl w:val="0"/>
          <w:numId w:val="2"/>
        </w:numPr>
        <w:spacing w:after="90" w:line="276"/>
      </w:pPr>
      <w:r>
        <w:rPr>
          <w:b/>
          <w:bCs/>
          <w:sz w:val="22"/>
          <w:szCs w:val="22"/>
        </w:rPr>
        <w:t xml:space="preserve">Primary source: </w:t>
      </w:r>
      <w:r>
        <w:rPr>
          <w:sz w:val="22"/>
          <w:szCs w:val="22"/>
        </w:rPr>
        <w:t xml:space="preserve">football-data.org REST API (v4), a free-tier football data API providing fixtures, results, standings, teams, and squads for major competitions including the Premier League, La Liga, Bundesliga, Serie A, Ligue 1, UEFA Champions League, and the FIFA World Cup.</w:t>
      </w:r>
    </w:p>
    <w:p>
      <w:pPr>
        <w:pStyle w:val="ListParagraph"/>
        <w:numPr>
          <w:ilvl w:val="0"/>
          <w:numId w:val="2"/>
        </w:numPr>
        <w:spacing w:after="90" w:line="276"/>
      </w:pPr>
      <w:r>
        <w:rPr>
          <w:b/>
          <w:bCs/>
          <w:sz w:val="22"/>
          <w:szCs w:val="22"/>
        </w:rPr>
        <w:t xml:space="preserve">Key endpoints: </w:t>
      </w:r>
      <w:r>
        <w:rPr>
          <w:sz w:val="22"/>
          <w:szCs w:val="22"/>
        </w:rPr>
        <w:t xml:space="preserve">GET /v4/competitions/{id}/matches — filters: dateFrom={DATE}, dateTo={DATE}, status={STATUS}, matchday={MATCHDAY}, season={YEAR} (fixtures &amp; results for one competition).</w:t>
      </w:r>
    </w:p>
    <w:p>
      <w:pPr>
        <w:pStyle w:val="ListParagraph"/>
        <w:numPr>
          <w:ilvl w:val="0"/>
          <w:numId w:val="2"/>
        </w:numPr>
        <w:spacing w:after="90" w:line="276"/>
      </w:pPr>
      <w:r>
        <w:rPr>
          <w:sz w:val="22"/>
          <w:szCs w:val="22"/>
        </w:rPr>
        <w:t xml:space="preserve">GET /v4/competitions/{id}/standings — filters: matchday={MATCHDAY}, season={YEAR} (league table).</w:t>
      </w:r>
    </w:p>
    <w:p>
      <w:pPr>
        <w:pStyle w:val="ListParagraph"/>
        <w:numPr>
          <w:ilvl w:val="0"/>
          <w:numId w:val="2"/>
        </w:numPr>
        <w:spacing w:after="90" w:line="276"/>
      </w:pPr>
      <w:r>
        <w:rPr>
          <w:sz w:val="22"/>
          <w:szCs w:val="22"/>
        </w:rPr>
        <w:t xml:space="preserve">GET /v4/competitions/{id}/teams — filter: season={YEAR} (team &amp; squad metadata).</w:t>
      </w:r>
    </w:p>
    <w:p>
      <w:pPr>
        <w:pStyle w:val="ListParagraph"/>
        <w:numPr>
          <w:ilvl w:val="0"/>
          <w:numId w:val="2"/>
        </w:numPr>
        <w:spacing w:after="90" w:line="276"/>
      </w:pPr>
      <w:r>
        <w:rPr>
          <w:sz w:val="22"/>
          <w:szCs w:val="22"/>
        </w:rPr>
        <w:t xml:space="preserve">GET /v4/matches — filters: competitions={competitionIds}, dateFrom={DATE}, dateTo={DATE}, status={STATUS} (date-scoped matches across our tracked competitions in one call — this is the endpoint the daily incremental job will use).</w:t>
      </w:r>
    </w:p>
    <w:p>
      <w:pPr>
        <w:pStyle w:val="ListParagraph"/>
        <w:numPr>
          <w:ilvl w:val="0"/>
          <w:numId w:val="2"/>
        </w:numPr>
        <w:spacing w:after="90" w:line="276"/>
      </w:pPr>
      <w:r>
        <w:rPr>
          <w:b/>
          <w:bCs/>
          <w:sz w:val="22"/>
          <w:szCs w:val="22"/>
        </w:rPr>
        <w:t>Access: Free tier requires only a personal API key (X-Auth-Token header) and permits 10 requests/minute — sufficient for scheduled daily pulls without exhausting quota. Verified live against the API on 2026-09-27 with a real registered key: this endpoint, the matches/standings/teams endpoints, and the scorers endpoint are all confirmed accessible on the free tier for all six tracked competitions. Full verification log: docs/api-verification.md in the repository.</w:t>
      </w:r>
      <w:r>
        <w:rPr>
          <w:sz w:val="22"/>
          <w:szCs w:val="22"/>
        </w:rPr>
      </w:r>
    </w:p>
    <w:p>
      <w:pPr>
        <w:pStyle w:val="ListParagraph"/>
        <w:numPr>
          <w:ilvl w:val="0"/>
          <w:numId w:val="2"/>
        </w:numPr>
        <w:spacing w:after="90" w:line="276"/>
      </w:pPr>
      <w:r>
        <w:rPr>
          <w:b/>
          <w:bCs/>
          <w:sz w:val="22"/>
          <w:szCs w:val="22"/>
        </w:rPr>
        <w:t xml:space="preserve">Fallback/secondary source: </w:t>
      </w:r>
      <w:r>
        <w:rPr>
          <w:sz w:val="22"/>
          <w:szCs w:val="22"/>
        </w:rPr>
        <w:t xml:space="preserve">API-Football (RapidAPI free tier) will be kept as a backup source in case rate limits or competition coverage on football-data.org prove restrictive during Phase 2.</w:t>
      </w:r>
    </w:p>
    <w:p>
      <w:pPr>
        <w:pStyle w:val="Heading2"/>
        <w:spacing w:after="120" w:before="240"/>
      </w:pPr>
      <w:r>
        <w:rPr>
          <w:b/>
          <w:bCs/>
          <w:color w:val="1F4E79"/>
          <w:sz w:val="24"/>
          <w:szCs w:val="24"/>
        </w:rPr>
        <w:t xml:space="preserve">1.3 Ingestion Pattern</w:t>
      </w:r>
    </w:p>
    <w:p>
      <w:pPr>
        <w:spacing w:after="160" w:line="276"/>
      </w:pPr>
      <w:r>
        <w:rPr>
          <w:sz w:val="22"/>
          <w:szCs w:val="22"/>
        </w:rPr>
        <w:t xml:space="preserve">The chosen source natively supports both load types required by the project:</w:t>
      </w:r>
    </w:p>
    <w:p>
      <w:pPr>
        <w:pStyle w:val="ListParagraph"/>
        <w:numPr>
          <w:ilvl w:val="0"/>
          <w:numId w:val="2"/>
        </w:numPr>
        <w:spacing w:after="90" w:line="276"/>
      </w:pPr>
      <w:r>
        <w:rPr>
          <w:b/>
          <w:bCs/>
          <w:sz w:val="22"/>
          <w:szCs w:val="22"/>
        </w:rPr>
        <w:t>Full Load: A one-time historical extraction pulling completed seasons 2023/24 through 2025/26, plus the current in-progress season, for 4-5 competitions. This establishes the historical baseline in the Bronze layer. Note: this range was corrected after live API verification — football-data.org's free tier returns HTTP 403 for season=2022 ("not within your permissions") but does allow 2023 onward; our original draft assumed one season further back than the free tier actually permits. See docs/api-verification.md.</w:t>
      </w:r>
      <w:r>
        <w:rPr>
          <w:sz w:val="22"/>
          <w:szCs w:val="22"/>
        </w:rPr>
      </w:r>
    </w:p>
    <w:p>
      <w:pPr>
        <w:pStyle w:val="ListParagraph"/>
        <w:numPr>
          <w:ilvl w:val="0"/>
          <w:numId w:val="2"/>
        </w:numPr>
        <w:spacing w:after="90" w:line="276"/>
      </w:pPr>
      <w:r>
        <w:rPr>
          <w:b/>
          <w:bCs/>
          <w:sz w:val="22"/>
          <w:szCs w:val="22"/>
        </w:rPr>
        <w:t xml:space="preserve">Incremental Load: </w:t>
      </w:r>
      <w:r>
        <w:rPr>
          <w:sz w:val="22"/>
          <w:szCs w:val="22"/>
        </w:rPr>
        <w:t xml:space="preserve">A scheduled daily pull against GET /v4/matches using the competitions, dateFrom, dateTo, and status query parameters to fetch only matches that are newly scheduled, newly finished, or updated (score corrections, postponements) since the last run. This mirrors a realistic CDC-style (change data capture) pattern even though the source is a REST API rather than a database.</w:t>
      </w:r>
    </w:p>
    <w:p>
      <w:pPr>
        <w:pStyle w:val="Heading1"/>
        <w:spacing w:after="160" w:before="360"/>
      </w:pPr>
      <w:r>
        <w:rPr>
          <w:b/>
          <w:bCs/>
          <w:color w:val="1F4E79"/>
          <w:sz w:val="30"/>
          <w:szCs w:val="30"/>
        </w:rPr>
        <w:t xml:space="preserve">2. Data Samples &amp; Volume</w:t>
      </w:r>
    </w:p>
    <w:p>
      <w:pPr>
        <w:pStyle w:val="Heading2"/>
        <w:spacing w:after="120" w:before="240"/>
      </w:pPr>
      <w:r>
        <w:rPr>
          <w:b/>
          <w:bCs/>
          <w:color w:val="1F4E79"/>
          <w:sz w:val="24"/>
          <w:szCs w:val="24"/>
        </w:rPr>
        <w:t xml:space="preserve">2.1 Sample Files</w:t>
      </w:r>
    </w:p>
    <w:p>
      <w:pPr>
        <w:spacing w:after="160" w:line="276"/>
      </w:pPr>
      <w:r>
        <w:rPr>
          <w:sz w:val="22"/>
          <w:szCs w:val="22"/>
        </w:rPr>
        <w:t xml:space="preserve">Two representative raw JSON payloads will be captured and pushed to the GitHub repository under /data/samples/:</w:t>
      </w:r>
    </w:p>
    <w:p>
      <w:pPr>
        <w:pStyle w:val="ListParagraph"/>
        <w:numPr>
          <w:ilvl w:val="0"/>
          <w:numId w:val="2"/>
        </w:numPr>
        <w:spacing w:after="90" w:line="276"/>
      </w:pPr>
      <w:r>
        <w:rPr>
          <w:sz w:val="22"/>
          <w:szCs w:val="22"/>
        </w:rPr>
        <w:t>full_load_sample_pl_2023-24.json, full_load_sample_pl_2024-25.json, full_load_sample_pl_2025-26.json — three real, live-pulled season extracts for the Premier League (380 matches each), plus full_load_sample_pl_teams.json (team/squad metadata) and full_load_sample_pl_standings.json (current standings). All pulled from the live API on 2026-09-27, not simulated.</w:t>
      </w:r>
    </w:p>
    <w:p>
      <w:pPr>
        <w:pStyle w:val="ListParagraph"/>
        <w:numPr>
          <w:ilvl w:val="0"/>
          <w:numId w:val="2"/>
        </w:numPr>
        <w:spacing w:after="90" w:line="276"/>
      </w:pPr>
      <w:r>
        <w:rPr>
          <w:sz w:val="22"/>
          <w:szCs w:val="22"/>
        </w:rPr>
        <w:t>incremental_load_sample_2026-09-20.json — a real date-scoped pull via the multi-competition matches endpoint, capturing one actual matchday (20 matches across 5 tracked leagues).</w:t>
      </w:r>
    </w:p>
    <w:p>
      <w:pPr>
        <w:pStyle w:val="Heading2"/>
        <w:spacing w:after="120" w:before="240"/>
      </w:pPr>
      <w:r>
        <w:rPr>
          <w:b/>
          <w:bCs/>
          <w:color w:val="1F4E79"/>
          <w:sz w:val="24"/>
          <w:szCs w:val="24"/>
        </w:rPr>
        <w:t xml:space="preserve">2.2 Volume &amp; Frequency Estimation</w:t>
      </w:r>
    </w:p>
    <w:tbl>
      <w:tblPr>
        <w:tblW w:type="dxa" w:w="9350"/>
        <w:tblBorders>
          <w:top w:val="single" w:color="AAAAAA" w:sz="4"/>
          <w:left w:val="single" w:color="AAAAAA" w:sz="4"/>
          <w:bottom w:val="single" w:color="AAAAAA" w:sz="4"/>
          <w:right w:val="single" w:color="AAAAAA" w:sz="4"/>
          <w:insideH w:val="single" w:color="AAAAAA" w:sz="4"/>
          <w:insideV w:val="single" w:color="AAAAAA" w:sz="4"/>
        </w:tblBorders>
      </w:tblPr>
      <w:tblGrid>
        <w:gridCol w:w="3100"/>
        <w:gridCol w:w="3300"/>
        <w:gridCol w:w="2950"/>
      </w:tblGrid>
      <w:tr>
        <w:tc>
          <w:tcPr>
            <w:tcW w:type="dxa" w:w="3100"/>
            <w:shd w:fill="1F4E79" w:val="clear"/>
            <w:tcMar>
              <w:top w:type="dxa" w:w="100"/>
              <w:left w:type="dxa" w:w="120"/>
              <w:bottom w:type="dxa" w:w="100"/>
              <w:right w:type="dxa" w:w="120"/>
            </w:tcMar>
          </w:tcPr>
          <w:p>
            <w:r>
              <w:rPr>
                <w:b/>
                <w:bCs/>
                <w:color w:val="FFFFFF"/>
                <w:sz w:val="20"/>
                <w:szCs w:val="20"/>
              </w:rPr>
              <w:t xml:space="preserve">Dataset</w:t>
            </w:r>
          </w:p>
        </w:tc>
        <w:tc>
          <w:tcPr>
            <w:tcW w:type="dxa" w:w="3300"/>
            <w:shd w:fill="1F4E79" w:val="clear"/>
            <w:tcMar>
              <w:top w:type="dxa" w:w="100"/>
              <w:left w:type="dxa" w:w="120"/>
              <w:bottom w:type="dxa" w:w="100"/>
              <w:right w:type="dxa" w:w="120"/>
            </w:tcMar>
          </w:tcPr>
          <w:p>
            <w:r>
              <w:rPr>
                <w:b/>
                <w:bCs/>
                <w:color w:val="FFFFFF"/>
                <w:sz w:val="20"/>
                <w:szCs w:val="20"/>
              </w:rPr>
              <w:t xml:space="preserve">Scope</w:t>
            </w:r>
          </w:p>
        </w:tc>
        <w:tc>
          <w:tcPr>
            <w:tcW w:type="dxa" w:w="2950"/>
            <w:shd w:fill="1F4E79" w:val="clear"/>
            <w:tcMar>
              <w:top w:type="dxa" w:w="100"/>
              <w:left w:type="dxa" w:w="120"/>
              <w:bottom w:type="dxa" w:w="100"/>
              <w:right w:type="dxa" w:w="120"/>
            </w:tcMar>
          </w:tcPr>
          <w:p>
            <w:r>
              <w:rPr>
                <w:b/>
                <w:bCs/>
                <w:color w:val="FFFFFF"/>
                <w:sz w:val="20"/>
                <w:szCs w:val="20"/>
              </w:rPr>
              <w:t xml:space="preserve">Estimated Size</w:t>
            </w:r>
          </w:p>
        </w:tc>
      </w:tr>
      <w:tr>
        <w:tc>
          <w:tcPr>
            <w:tcW w:type="dxa" w:w="3100"/>
            <w:tcMar>
              <w:top w:type="dxa" w:w="100"/>
              <w:left w:type="dxa" w:w="120"/>
              <w:bottom w:type="dxa" w:w="100"/>
              <w:right w:type="dxa" w:w="120"/>
            </w:tcMar>
          </w:tcPr>
          <w:p>
            <w:r>
              <w:rPr>
                <w:b w:val="false"/>
                <w:bCs w:val="false"/>
                <w:color w:val="000000"/>
                <w:sz w:val="20"/>
                <w:szCs w:val="20"/>
              </w:rPr>
              <w:t xml:space="preserve">Full Load</w:t>
            </w:r>
          </w:p>
        </w:tc>
        <w:tc>
          <w:tcPr>
            <w:tcW w:type="dxa" w:w="3300"/>
            <w:tcMar>
              <w:top w:type="dxa" w:w="100"/>
              <w:left w:type="dxa" w:w="120"/>
              <w:bottom w:type="dxa" w:w="100"/>
              <w:right w:type="dxa" w:w="120"/>
            </w:tcMar>
          </w:tcPr>
          <w:p>
            <w:r>
              <w:rPr>
                <w:b w:val="false"/>
                <w:bCs w:val="false"/>
                <w:color w:val="000000"/>
                <w:sz w:val="20"/>
                <w:szCs w:val="20"/>
              </w:rPr>
              <w:t xml:space="preserve">5 competitions × 4 seasons (matches, standings, teams)</w:t>
            </w:r>
          </w:p>
        </w:tc>
        <w:tc>
          <w:tcPr>
            <w:tcW w:type="dxa" w:w="2950"/>
            <w:tcMar>
              <w:top w:type="dxa" w:w="100"/>
              <w:left w:type="dxa" w:w="120"/>
              <w:bottom w:type="dxa" w:w="100"/>
              <w:right w:type="dxa" w:w="120"/>
            </w:tcMar>
          </w:tcPr>
          <w:p>
            <w:r>
              <w:rPr>
                <w:b w:val="false"/>
                <w:bCs w:val="false"/>
                <w:color w:val="000000"/>
                <w:sz w:val="20"/>
                <w:szCs w:val="20"/>
              </w:rPr>
              <w:t xml:space="preserve">~60–90 MB (raw JSON)</w:t>
            </w:r>
          </w:p>
        </w:tc>
      </w:tr>
      <w:tr>
        <w:tc>
          <w:tcPr>
            <w:tcW w:type="dxa" w:w="3100"/>
            <w:tcMar>
              <w:top w:type="dxa" w:w="100"/>
              <w:left w:type="dxa" w:w="120"/>
              <w:bottom w:type="dxa" w:w="100"/>
              <w:right w:type="dxa" w:w="120"/>
            </w:tcMar>
          </w:tcPr>
          <w:p>
            <w:r>
              <w:rPr>
                <w:b w:val="false"/>
                <w:bCs w:val="false"/>
                <w:color w:val="000000"/>
                <w:sz w:val="20"/>
                <w:szCs w:val="20"/>
              </w:rPr>
              <w:t xml:space="preserve">Incremental Load</w:t>
            </w:r>
          </w:p>
        </w:tc>
        <w:tc>
          <w:tcPr>
            <w:tcW w:type="dxa" w:w="3300"/>
            <w:tcMar>
              <w:top w:type="dxa" w:w="100"/>
              <w:left w:type="dxa" w:w="120"/>
              <w:bottom w:type="dxa" w:w="100"/>
              <w:right w:type="dxa" w:w="120"/>
            </w:tcMar>
          </w:tcPr>
          <w:p>
            <w:r>
              <w:rPr>
                <w:b w:val="false"/>
                <w:bCs w:val="false"/>
                <w:color w:val="000000"/>
                <w:sz w:val="20"/>
                <w:szCs w:val="20"/>
              </w:rPr>
              <w:t xml:space="preserve">Daily fixture/result updates across tracked competitions</w:t>
            </w:r>
          </w:p>
        </w:tc>
        <w:tc>
          <w:tcPr>
            <w:tcW w:type="dxa" w:w="2950"/>
            <w:tcMar>
              <w:top w:type="dxa" w:w="100"/>
              <w:left w:type="dxa" w:w="120"/>
              <w:bottom w:type="dxa" w:w="100"/>
              <w:right w:type="dxa" w:w="120"/>
            </w:tcMar>
          </w:tcPr>
          <w:p>
            <w:r>
              <w:rPr>
                <w:b w:val="false"/>
                <w:bCs w:val="false"/>
                <w:color w:val="000000"/>
                <w:sz w:val="20"/>
                <w:szCs w:val="20"/>
              </w:rPr>
              <w:t xml:space="preserve">~1–3 MB / day</w:t>
            </w:r>
          </w:p>
        </w:tc>
      </w:tr>
      <w:tr>
        <w:tc>
          <w:tcPr>
            <w:tcW w:type="dxa" w:w="3100"/>
            <w:tcMar>
              <w:top w:type="dxa" w:w="100"/>
              <w:left w:type="dxa" w:w="120"/>
              <w:bottom w:type="dxa" w:w="100"/>
              <w:right w:type="dxa" w:w="120"/>
            </w:tcMar>
          </w:tcPr>
          <w:p>
            <w:r>
              <w:rPr>
                <w:b w:val="false"/>
                <w:bCs w:val="false"/>
                <w:color w:val="000000"/>
                <w:sz w:val="20"/>
                <w:szCs w:val="20"/>
              </w:rPr>
              <w:t xml:space="preserve">Weekly Accumulation</w:t>
            </w:r>
          </w:p>
        </w:tc>
        <w:tc>
          <w:tcPr>
            <w:tcW w:type="dxa" w:w="3300"/>
            <w:tcMar>
              <w:top w:type="dxa" w:w="100"/>
              <w:left w:type="dxa" w:w="120"/>
              <w:bottom w:type="dxa" w:w="100"/>
              <w:right w:type="dxa" w:w="120"/>
            </w:tcMar>
          </w:tcPr>
          <w:p>
            <w:r>
              <w:rPr>
                <w:b w:val="false"/>
                <w:bCs w:val="false"/>
                <w:color w:val="000000"/>
                <w:sz w:val="20"/>
                <w:szCs w:val="20"/>
              </w:rPr>
              <w:t xml:space="preserve">7 days of incremental pulls</w:t>
            </w:r>
          </w:p>
        </w:tc>
        <w:tc>
          <w:tcPr>
            <w:tcW w:type="dxa" w:w="2950"/>
            <w:tcMar>
              <w:top w:type="dxa" w:w="100"/>
              <w:left w:type="dxa" w:w="120"/>
              <w:bottom w:type="dxa" w:w="100"/>
              <w:right w:type="dxa" w:w="120"/>
            </w:tcMar>
          </w:tcPr>
          <w:p>
            <w:r>
              <w:rPr>
                <w:b w:val="false"/>
                <w:bCs w:val="false"/>
                <w:color w:val="000000"/>
                <w:sz w:val="20"/>
                <w:szCs w:val="20"/>
              </w:rPr>
              <w:t xml:space="preserve">~10–20 MB / week</w:t>
            </w:r>
          </w:p>
        </w:tc>
      </w:tr>
      <w:tr>
        <w:tc>
          <w:tcPr>
            <w:tcW w:type="dxa" w:w="3100"/>
            <w:tcMar>
              <w:top w:type="dxa" w:w="100"/>
              <w:left w:type="dxa" w:w="120"/>
              <w:bottom w:type="dxa" w:w="100"/>
              <w:right w:type="dxa" w:w="120"/>
            </w:tcMar>
          </w:tcPr>
          <w:p>
            <w:r>
              <w:rPr>
                <w:b w:val="false"/>
                <w:bCs w:val="false"/>
                <w:color w:val="000000"/>
                <w:sz w:val="20"/>
                <w:szCs w:val="20"/>
              </w:rPr>
              <w:t xml:space="preserve">Projected Bronze size (end of semester)</w:t>
            </w:r>
          </w:p>
        </w:tc>
        <w:tc>
          <w:tcPr>
            <w:tcW w:type="dxa" w:w="3300"/>
            <w:tcMar>
              <w:top w:type="dxa" w:w="100"/>
              <w:left w:type="dxa" w:w="120"/>
              <w:bottom w:type="dxa" w:w="100"/>
              <w:right w:type="dxa" w:w="120"/>
            </w:tcMar>
          </w:tcPr>
          <w:p>
            <w:r>
              <w:rPr>
                <w:b w:val="false"/>
                <w:bCs w:val="false"/>
                <w:color w:val="000000"/>
                <w:sz w:val="20"/>
                <w:szCs w:val="20"/>
              </w:rPr>
              <w:t xml:space="preserve">Full load + ~10 weeks of incrementals</w:t>
            </w:r>
          </w:p>
        </w:tc>
        <w:tc>
          <w:tcPr>
            <w:tcW w:type="dxa" w:w="2950"/>
            <w:tcMar>
              <w:top w:type="dxa" w:w="100"/>
              <w:left w:type="dxa" w:w="120"/>
              <w:bottom w:type="dxa" w:w="100"/>
              <w:right w:type="dxa" w:w="120"/>
            </w:tcMar>
          </w:tcPr>
          <w:p>
            <w:r>
              <w:rPr>
                <w:b w:val="false"/>
                <w:bCs w:val="false"/>
                <w:color w:val="000000"/>
                <w:sz w:val="20"/>
                <w:szCs w:val="20"/>
              </w:rPr>
              <w:t xml:space="preserve">~250–350 MB</w:t>
            </w:r>
          </w:p>
        </w:tc>
      </w:tr>
    </w:tbl>
    <w:p>
      <w:pPr>
        <w:spacing w:after="160" w:before="200"/>
      </w:pPr>
      <w:r>
        <w:rPr>
          <w:sz w:val="22"/>
          <w:szCs w:val="22"/>
        </w:rPr>
        <w:t>Measured directly from the live API (see docs/volume-estimate.md for full detail): one Premier League season (380 matches) is ~383 KB, roughly 1,032 bytes/match. Team/squad metadata for one competition is ~88 KB; a standings snapshot is ~5.5 KB. Extrapolating to all 6 tracked competitions across 4 seasons (2023/24-2025/26 plus current): estimated full load ~9.3 MB total — comfortably within Databricks Community Edition's free-tier storage limits. Incremental: one real matchday pull across 5 competitions measured at ~20.2 KB for 20 matches; estimated daily incremental averages 15-30 KB on match days and near-zero on rest days, roughly 100-150 KB/week and 400-600 KB/month across all tracked competitions. Rate-limit math: the full historical backfill needs ~48 API calls total; at the free tier's 10 requests/minute, that completes in under 6 minutes — rate limiting is not a practical constraint at this scope.</w:t>
      </w:r>
    </w:p>
    <w:p>
      <w:pPr>
        <w:pStyle w:val="Heading1"/>
        <w:spacing w:after="160" w:before="360"/>
      </w:pPr>
      <w:r>
        <w:rPr>
          <w:b/>
          <w:bCs/>
          <w:color w:val="1F4E79"/>
          <w:sz w:val="30"/>
          <w:szCs w:val="30"/>
        </w:rPr>
        <w:t xml:space="preserve">3. Security &amp; Compliance</w:t>
      </w:r>
    </w:p>
    <w:p>
      <w:pPr>
        <w:pStyle w:val="Heading2"/>
        <w:spacing w:after="120" w:before="240"/>
      </w:pPr>
      <w:r>
        <w:rPr>
          <w:b/>
          <w:bCs/>
          <w:color w:val="1F4E79"/>
          <w:sz w:val="24"/>
          <w:szCs w:val="24"/>
        </w:rPr>
        <w:t xml:space="preserve">3.1 PII Identification</w:t>
      </w:r>
    </w:p>
    <w:p>
      <w:pPr>
        <w:spacing w:after="160" w:line="276"/>
      </w:pPr>
      <w:r>
        <w:rPr>
          <w:sz w:val="22"/>
          <w:szCs w:val="22"/>
        </w:rPr>
        <w:t xml:space="preserve">We reviewed the raw data samples against standard PII categories (full names tied to private individuals, email addresses, phone numbers, home addresses, exact IP addresses, financial/payment details, government IDs).</w:t>
      </w:r>
    </w:p>
    <w:p>
      <w:pPr>
        <w:pStyle w:val="ListParagraph"/>
        <w:numPr>
          <w:ilvl w:val="0"/>
          <w:numId w:val="2"/>
        </w:numPr>
        <w:spacing w:after="90" w:line="276"/>
      </w:pPr>
      <w:r>
        <w:rPr>
          <w:b/>
          <w:bCs/>
          <w:sz w:val="22"/>
          <w:szCs w:val="22"/>
        </w:rPr>
        <w:t xml:space="preserve">Finding: </w:t>
      </w:r>
      <w:r>
        <w:rPr>
          <w:sz w:val="22"/>
          <w:szCs w:val="22"/>
        </w:rPr>
        <w:t xml:space="preserve">The dataset contains no traditional PII. Player, coach, and referee names refer to public professional figures acting in a public capacity (a football match), not private individuals, and the API exposes no contact details, addresses, financial information, or IP data.</w:t>
      </w:r>
    </w:p>
    <w:p>
      <w:pPr>
        <w:pStyle w:val="ListParagraph"/>
        <w:numPr>
          <w:ilvl w:val="0"/>
          <w:numId w:val="2"/>
        </w:numPr>
        <w:spacing w:after="90" w:line="276"/>
      </w:pPr>
      <w:r>
        <w:rPr>
          <w:b/>
          <w:bCs/>
          <w:sz w:val="22"/>
          <w:szCs w:val="22"/>
        </w:rPr>
        <w:t xml:space="preserve">Borderline fields noted: </w:t>
      </w:r>
      <w:r>
        <w:rPr>
          <w:sz w:val="22"/>
          <w:szCs w:val="22"/>
        </w:rPr>
        <w:t xml:space="preserve">player date of birth and nationality are present in team/squad payloads. These are quasi-identifiers rather than direct PII, but because they could theoretically contribute to re-identification if joined with other datasets, we treat them as sensitive-by-caution rather than ignoring the question entirely.</w:t>
      </w:r>
    </w:p>
    <w:p>
      <w:pPr>
        <w:pStyle w:val="Heading2"/>
        <w:spacing w:after="120" w:before="240"/>
      </w:pPr>
      <w:r>
        <w:rPr>
          <w:b/>
          <w:bCs/>
          <w:color w:val="1F4E79"/>
          <w:sz w:val="24"/>
          <w:szCs w:val="24"/>
        </w:rPr>
        <w:t xml:space="preserve">3.2 Handling Strategy</w:t>
      </w:r>
    </w:p>
    <w:p>
      <w:pPr>
        <w:spacing w:after="160" w:line="276"/>
      </w:pPr>
      <w:r>
        <w:rPr>
          <w:sz w:val="22"/>
          <w:szCs w:val="22"/>
        </w:rPr>
        <w:t xml:space="preserve">Since the dataset contains no direct PII, our strategy is primarily one of justified inclusion rather than masking:</w:t>
      </w:r>
    </w:p>
    <w:p>
      <w:pPr>
        <w:pStyle w:val="ListParagraph"/>
        <w:numPr>
          <w:ilvl w:val="0"/>
          <w:numId w:val="2"/>
        </w:numPr>
        <w:spacing w:after="90" w:line="276"/>
      </w:pPr>
      <w:r>
        <w:rPr>
          <w:b/>
          <w:bCs/>
          <w:sz w:val="22"/>
          <w:szCs w:val="22"/>
        </w:rPr>
        <w:t xml:space="preserve">No hashing/masking required for core match data: </w:t>
      </w:r>
      <w:r>
        <w:rPr>
          <w:sz w:val="22"/>
          <w:szCs w:val="22"/>
        </w:rPr>
        <w:t xml:space="preserve">match scores, dates, venues, and competition/team identifiers are public sporting-record data and will flow through Bronze → Silver → Gold unmodified.</w:t>
      </w:r>
    </w:p>
    <w:p>
      <w:pPr>
        <w:pStyle w:val="ListParagraph"/>
        <w:numPr>
          <w:ilvl w:val="0"/>
          <w:numId w:val="2"/>
        </w:numPr>
        <w:spacing w:after="90" w:line="276"/>
      </w:pPr>
      <w:r>
        <w:rPr>
          <w:b/>
          <w:bCs/>
          <w:sz w:val="22"/>
          <w:szCs w:val="22"/>
        </w:rPr>
        <w:t xml:space="preserve">Quasi-identifier fields (DOB, nationality): </w:t>
      </w:r>
      <w:r>
        <w:rPr>
          <w:sz w:val="22"/>
          <w:szCs w:val="22"/>
        </w:rPr>
        <w:t xml:space="preserve">retained at Silver granularity for legitimate analytical value (e.g., squad age profiles) but excluded from any Gold table that would be shared or exported externally, limiting exposure to within-pipeline use only.</w:t>
      </w:r>
    </w:p>
    <w:p>
      <w:pPr>
        <w:pStyle w:val="ListParagraph"/>
        <w:numPr>
          <w:ilvl w:val="0"/>
          <w:numId w:val="2"/>
        </w:numPr>
        <w:spacing w:after="90" w:line="276"/>
      </w:pPr>
      <w:r>
        <w:rPr>
          <w:b/>
          <w:bCs/>
          <w:sz w:val="22"/>
          <w:szCs w:val="22"/>
        </w:rPr>
        <w:t xml:space="preserve">Operational data hygiene: </w:t>
      </w:r>
      <w:r>
        <w:rPr>
          <w:sz w:val="22"/>
          <w:szCs w:val="22"/>
        </w:rPr>
        <w:t xml:space="preserve">any incidental request/response logs generated during API ingestion (which could contain our own API key or IP address) will be excluded from the Bronze layer and from the GitHub repository, and secrets (API keys) will be stored via environment variables / Databricks secret scopes, never committed to source control.</w:t>
      </w:r>
    </w:p>
    <w:p>
      <w:pPr>
        <w:pStyle w:val="ListParagraph"/>
        <w:numPr>
          <w:ilvl w:val="0"/>
          <w:numId w:val="2"/>
        </w:numPr>
        <w:spacing w:after="90" w:line="276"/>
      </w:pPr>
      <w:r>
        <w:rPr>
          <w:b/>
          <w:bCs/>
          <w:sz w:val="22"/>
          <w:szCs w:val="22"/>
        </w:rPr>
        <w:t xml:space="preserve">Justification: </w:t>
      </w:r>
      <w:r>
        <w:rPr>
          <w:sz w:val="22"/>
          <w:szCs w:val="22"/>
        </w:rPr>
        <w:t xml:space="preserve">This approach is explicitly documented here per the assignment's requirement to state and justify a "no PII" conclusion where applicable, while still demonstrating awareness of quasi-identifier risk.</w:t>
      </w:r>
    </w:p>
    <w:p>
      <w:pPr>
        <w:pStyle w:val="Heading1"/>
        <w:spacing w:after="160" w:before="360"/>
      </w:pPr>
      <w:r>
        <w:rPr>
          <w:b/>
          <w:bCs/>
          <w:color w:val="1F4E79"/>
          <w:sz w:val="30"/>
          <w:szCs w:val="30"/>
        </w:rPr>
        <w:t xml:space="preserve">4. High-Level Medallion Data Modeling</w:t>
      </w:r>
    </w:p>
    <w:p>
      <w:pPr>
        <w:pStyle w:val="Heading2"/>
        <w:spacing w:after="120" w:before="240"/>
      </w:pPr>
      <w:r>
        <w:rPr>
          <w:b/>
          <w:bCs/>
          <w:color w:val="1F4E79"/>
          <w:sz w:val="24"/>
          <w:szCs w:val="24"/>
        </w:rPr>
        <w:t xml:space="preserve">4.1 Bronze Layer (Raw)</w:t>
      </w:r>
    </w:p>
    <w:p>
      <w:pPr>
        <w:spacing w:after="160" w:line="276"/>
      </w:pPr>
      <w:r>
        <w:rPr>
          <w:sz w:val="22"/>
          <w:szCs w:val="22"/>
        </w:rPr>
        <w:t xml:space="preserve">Raw JSON responses are landed as-is, partitioned by ingestion date and load_type (full / incremental), with no transformation applied beyond adding ingestion metadata:</w:t>
      </w:r>
    </w:p>
    <w:p>
      <w:pPr>
        <w:pStyle w:val="ListParagraph"/>
        <w:numPr>
          <w:ilvl w:val="0"/>
          <w:numId w:val="2"/>
        </w:numPr>
        <w:spacing w:after="90" w:line="276"/>
      </w:pPr>
      <w:r>
        <w:rPr>
          <w:sz w:val="22"/>
          <w:szCs w:val="22"/>
        </w:rPr>
        <w:t xml:space="preserve">ingestion_timestamp — when the record was pulled</w:t>
      </w:r>
    </w:p>
    <w:p>
      <w:pPr>
        <w:pStyle w:val="ListParagraph"/>
        <w:numPr>
          <w:ilvl w:val="0"/>
          <w:numId w:val="2"/>
        </w:numPr>
        <w:spacing w:after="90" w:line="276"/>
      </w:pPr>
      <w:r>
        <w:rPr>
          <w:sz w:val="22"/>
          <w:szCs w:val="22"/>
        </w:rPr>
        <w:t xml:space="preserve">source_endpoint — which API endpoint produced it</w:t>
      </w:r>
    </w:p>
    <w:p>
      <w:pPr>
        <w:pStyle w:val="ListParagraph"/>
        <w:numPr>
          <w:ilvl w:val="0"/>
          <w:numId w:val="2"/>
        </w:numPr>
        <w:spacing w:after="90" w:line="276"/>
      </w:pPr>
      <w:r>
        <w:rPr>
          <w:sz w:val="22"/>
          <w:szCs w:val="22"/>
        </w:rPr>
        <w:t xml:space="preserve">load_type — FULL or INCREMENTAL</w:t>
      </w:r>
    </w:p>
    <w:p>
      <w:pPr>
        <w:pStyle w:val="ListParagraph"/>
        <w:numPr>
          <w:ilvl w:val="0"/>
          <w:numId w:val="2"/>
        </w:numPr>
        <w:spacing w:after="90" w:line="276"/>
      </w:pPr>
      <w:r>
        <w:rPr>
          <w:sz w:val="22"/>
          <w:szCs w:val="22"/>
        </w:rPr>
        <w:t xml:space="preserve">batch_id — groups records from the same pipeline run</w:t>
      </w:r>
    </w:p>
    <w:p>
      <w:pPr>
        <w:pStyle w:val="Heading2"/>
        <w:spacing w:after="120" w:before="240"/>
      </w:pPr>
      <w:r>
        <w:rPr>
          <w:b/>
          <w:bCs/>
          <w:color w:val="1F4E79"/>
          <w:sz w:val="24"/>
          <w:szCs w:val="24"/>
        </w:rPr>
        <w:t xml:space="preserve">4.2 Bronze → Silver: Cleaning &amp; Conformance</w:t>
      </w:r>
    </w:p>
    <w:p>
      <w:pPr>
        <w:spacing w:after="160" w:line="276"/>
      </w:pPr>
      <w:r>
        <w:rPr>
          <w:sz w:val="22"/>
          <w:szCs w:val="22"/>
        </w:rPr>
        <w:t xml:space="preserve">The following transformations move data from raw to cleansed:</w:t>
      </w:r>
    </w:p>
    <w:p>
      <w:pPr>
        <w:pStyle w:val="ListParagraph"/>
        <w:numPr>
          <w:ilvl w:val="0"/>
          <w:numId w:val="2"/>
        </w:numPr>
        <w:spacing w:after="90" w:line="276"/>
      </w:pPr>
      <w:r>
        <w:rPr>
          <w:sz w:val="22"/>
          <w:szCs w:val="22"/>
        </w:rPr>
        <w:t xml:space="preserve">Flatten nested JSON (score, referees, standings arrays) into tabular rows using Spark's explode / struct field access.</w:t>
      </w:r>
    </w:p>
    <w:p>
      <w:pPr>
        <w:pStyle w:val="ListParagraph"/>
        <w:numPr>
          <w:ilvl w:val="0"/>
          <w:numId w:val="2"/>
        </w:numPr>
        <w:spacing w:after="90" w:line="276"/>
      </w:pPr>
      <w:r>
        <w:rPr>
          <w:sz w:val="22"/>
          <w:szCs w:val="22"/>
        </w:rPr>
        <w:t xml:space="preserve">Cast and standardize types: match date/time strings → TimestampType (UTC-normalized), scores → IntegerType, IDs → LongType.</w:t>
      </w:r>
    </w:p>
    <w:p>
      <w:pPr>
        <w:pStyle w:val="ListParagraph"/>
        <w:numPr>
          <w:ilvl w:val="0"/>
          <w:numId w:val="2"/>
        </w:numPr>
        <w:spacing w:after="90" w:line="276"/>
      </w:pPr>
      <w:r>
        <w:rPr>
          <w:sz w:val="22"/>
          <w:szCs w:val="22"/>
        </w:rPr>
        <w:t xml:space="preserve">Deduplicate on (match_id, last_updated) to keep only the latest version of a record when a match appears in both a full and a later incremental pull.</w:t>
      </w:r>
    </w:p>
    <w:p>
      <w:pPr>
        <w:pStyle w:val="ListParagraph"/>
        <w:numPr>
          <w:ilvl w:val="0"/>
          <w:numId w:val="2"/>
        </w:numPr>
        <w:spacing w:after="90" w:line="276"/>
      </w:pPr>
      <w:r>
        <w:rPr>
          <w:sz w:val="22"/>
          <w:szCs w:val="22"/>
        </w:rPr>
        <w:t xml:space="preserve">Handle nulls/edge cases: postponed or not-yet-played matches have null scores — these are flagged with a match_status column (SCHEDULED / FINISHED / POSTPONED) rather than dropped.</w:t>
      </w:r>
    </w:p>
    <w:p>
      <w:pPr>
        <w:pStyle w:val="ListParagraph"/>
        <w:numPr>
          <w:ilvl w:val="0"/>
          <w:numId w:val="2"/>
        </w:numPr>
        <w:spacing w:after="90" w:line="276"/>
      </w:pPr>
      <w:r>
        <w:rPr>
          <w:sz w:val="22"/>
          <w:szCs w:val="22"/>
        </w:rPr>
        <w:t xml:space="preserve">Standardize reference values: consistent team names/short codes and competition codes across seasons (some teams change sponsor-prefixed names year to year).</w:t>
      </w:r>
    </w:p>
    <w:p>
      <w:pPr>
        <w:spacing w:after="160" w:line="276"/>
      </w:pPr>
      <w:r>
        <w:rPr>
          <w:sz w:val="22"/>
          <w:szCs w:val="22"/>
        </w:rPr>
        <w:t xml:space="preserve">High-level Silver data model: three cleansed, conformed tables — silver_matches (one row per match), silver_teams (team &amp; squad reference data, SCD-lite with an as_of date), and silver_standings (one row per team per matchday snapshot).</w:t>
      </w:r>
    </w:p>
    <w:p>
      <w:pPr>
        <w:pStyle w:val="Heading2"/>
        <w:spacing w:after="120" w:before="240"/>
      </w:pPr>
      <w:r>
        <w:rPr>
          <w:b/>
          <w:bCs/>
          <w:color w:val="1F4E79"/>
          <w:sz w:val="24"/>
          <w:szCs w:val="24"/>
        </w:rPr>
        <w:t xml:space="preserve">4.3 Gold Layer (Business-Ready)</w:t>
      </w:r>
    </w:p>
    <w:p>
      <w:pPr>
        <w:spacing w:after="160" w:line="276"/>
      </w:pPr>
      <w:r>
        <w:rPr>
          <w:sz w:val="22"/>
          <w:szCs w:val="22"/>
        </w:rPr>
        <w:t xml:space="preserve">The Gold layer follows a dimensional (star schema) design for BI consumption:</w:t>
      </w:r>
    </w:p>
    <w:p>
      <w:pPr>
        <w:pStyle w:val="ListParagraph"/>
        <w:numPr>
          <w:ilvl w:val="0"/>
          <w:numId w:val="2"/>
        </w:numPr>
        <w:spacing w:after="90" w:line="276"/>
      </w:pPr>
      <w:r>
        <w:rPr>
          <w:b/>
          <w:bCs/>
          <w:sz w:val="22"/>
          <w:szCs w:val="22"/>
        </w:rPr>
        <w:t xml:space="preserve">fact_matches — </w:t>
      </w:r>
      <w:r>
        <w:rPr>
          <w:sz w:val="22"/>
          <w:szCs w:val="22"/>
        </w:rPr>
        <w:t xml:space="preserve">grain of one row per match, with foreign keys to team, competition, venue, and date dimensions, plus measures (goals_home, goals_away, result, matchday).</w:t>
      </w:r>
    </w:p>
    <w:p>
      <w:pPr>
        <w:pStyle w:val="ListParagraph"/>
        <w:numPr>
          <w:ilvl w:val="0"/>
          <w:numId w:val="2"/>
        </w:numPr>
        <w:spacing w:after="90" w:line="276"/>
      </w:pPr>
      <w:r>
        <w:rPr>
          <w:b/>
          <w:bCs/>
          <w:sz w:val="22"/>
          <w:szCs w:val="22"/>
        </w:rPr>
        <w:t>dim_team, dim_competition, dim_date, dim_venue, dim_player — conformed dimension tables supporting slicing by team, league, season, time, and player.</w:t>
      </w:r>
      <w:r>
        <w:rPr>
          <w:sz w:val="22"/>
          <w:szCs w:val="22"/>
        </w:rPr>
      </w:r>
    </w:p>
    <w:p>
      <w:pPr>
        <w:pStyle w:val="ListParagraph"/>
        <w:numPr>
          <w:ilvl w:val="0"/>
          <w:numId w:val="2"/>
        </w:numPr>
        <w:spacing w:after="90" w:line="276"/>
      </w:pPr>
      <w:r>
        <w:rPr>
          <w:b/>
          <w:bCs/>
          <w:sz w:val="22"/>
          <w:szCs w:val="22"/>
        </w:rPr>
        <w:t xml:space="preserve">agg_team_season_performance — </w:t>
      </w:r>
      <w:r>
        <w:rPr>
          <w:sz w:val="22"/>
          <w:szCs w:val="22"/>
        </w:rPr>
        <w:t xml:space="preserve">pre-aggregated table of wins/draws/losses, goals for/against, and points by team per season (feeds standings and trend visuals directly).</w:t>
      </w:r>
    </w:p>
    <w:p>
      <w:pPr>
        <w:pStyle w:val="ListParagraph"/>
        <w:numPr>
          <w:ilvl w:val="0"/>
          <w:numId w:val="2"/>
        </w:numPr>
        <w:spacing w:after="90" w:line="276"/>
      </w:pPr>
      <w:r>
        <w:rPr>
          <w:b/>
          <w:bCs/>
          <w:sz w:val="22"/>
          <w:szCs w:val="22"/>
        </w:rPr>
        <w:t>agg_home_away_split — aggregated home vs. away performance metrics per team, purpose-built for the dashboard's home/away comparison visual. fact_top_scorers — one row per player per competition per season (goals, assists, team), sourced from the API's scorers endpoint, confirmed free-tier accessible in live testing (docs/api-verification.md). Added specifically to support the dashboard's player-scoring-trends question below, which the initial draft of this proposal promised without a supporting Gold table.</w:t>
      </w:r>
      <w:r>
        <w:rPr>
          <w:sz w:val="22"/>
          <w:szCs w:val="22"/>
        </w:rPr>
        <w:t xml:space="preserve"> (Note: this table gives season-total leaderboards, not per-match scoring detail, since the free API doesn't expose goal-by-goal events. If a true scoring trend over time is needed later, it can be derived by snapshotting the scorers endpoint on each incremental run and diffing consecutive snapshots per player.)</w:t>
      </w:r>
    </w:p>
    <w:p>
      <w:pPr>
        <w:pStyle w:val="Heading1"/>
        <w:spacing w:after="160" w:before="360"/>
      </w:pPr>
      <w:r>
        <w:rPr>
          <w:b/>
          <w:bCs/>
          <w:color w:val="1F4E79"/>
          <w:sz w:val="30"/>
          <w:szCs w:val="30"/>
        </w:rPr>
        <w:t xml:space="preserve">5. Business Intelligence &amp; Dashboards</w:t>
      </w:r>
    </w:p>
    <w:p>
      <w:pPr>
        <w:spacing w:after="160" w:line="276"/>
      </w:pPr>
      <w:r>
        <w:rPr>
          <w:sz w:val="22"/>
          <w:szCs w:val="22"/>
        </w:rPr>
        <w:t xml:space="preserve">A Power BI dashboard, "Football Performance &amp; Trends," will be built on top of the Gold layer to answer three core business questions:</w:t>
      </w:r>
    </w:p>
    <w:p>
      <w:pPr>
        <w:pStyle w:val="ListParagraph"/>
        <w:numPr>
          <w:ilvl w:val="0"/>
          <w:numId w:val="2"/>
        </w:numPr>
        <w:spacing w:after="90" w:line="276"/>
      </w:pPr>
      <w:r>
        <w:rPr>
          <w:sz w:val="22"/>
          <w:szCs w:val="22"/>
        </w:rPr>
        <w:t xml:space="preserve">Which teams are performing best this season, and how has that changed over time?</w:t>
      </w:r>
    </w:p>
    <w:p>
      <w:pPr>
        <w:pStyle w:val="ListParagraph"/>
        <w:numPr>
          <w:ilvl w:val="0"/>
          <w:numId w:val="2"/>
        </w:numPr>
        <w:spacing w:after="90" w:line="276"/>
      </w:pPr>
      <w:r>
        <w:rPr>
          <w:sz w:val="22"/>
          <w:szCs w:val="22"/>
        </w:rPr>
        <w:t xml:space="preserve">Do teams perform meaningfully better at home than away, and by how much?</w:t>
      </w:r>
    </w:p>
    <w:p>
      <w:pPr>
        <w:pStyle w:val="ListParagraph"/>
        <w:numPr>
          <w:ilvl w:val="0"/>
          <w:numId w:val="2"/>
        </w:numPr>
        <w:spacing w:after="90" w:line="276"/>
      </w:pPr>
      <w:r>
        <w:rPr>
          <w:sz w:val="22"/>
          <w:szCs w:val="22"/>
        </w:rPr>
        <w:t>Who are this season's top scorers across the tracked leagues, and which teams are they concentrated in?</w:t>
      </w:r>
    </w:p>
    <w:p>
      <w:pPr>
        <w:pStyle w:val="Heading2"/>
        <w:spacing w:after="120" w:before="240"/>
      </w:pPr>
      <w:r>
        <w:rPr>
          <w:b/>
          <w:bCs/>
          <w:color w:val="1F4E79"/>
          <w:sz w:val="24"/>
          <w:szCs w:val="24"/>
        </w:rPr>
        <w:t xml:space="preserve">5.1 Planned Visuals</w:t>
      </w:r>
    </w:p>
    <w:p>
      <w:pPr>
        <w:pStyle w:val="ListParagraph"/>
        <w:numPr>
          <w:ilvl w:val="0"/>
          <w:numId w:val="2"/>
        </w:numPr>
        <w:spacing w:after="90" w:line="276"/>
      </w:pPr>
      <w:r>
        <w:rPr>
          <w:b/>
          <w:bCs/>
          <w:sz w:val="22"/>
          <w:szCs w:val="22"/>
        </w:rPr>
        <w:t xml:space="preserve">League standings &amp; points trend: </w:t>
      </w:r>
      <w:r>
        <w:rPr>
          <w:sz w:val="22"/>
          <w:szCs w:val="22"/>
        </w:rPr>
        <w:t xml:space="preserve">a ranked table plus a line chart of cumulative points by matchday per team, sourced from agg_team_season_performance.</w:t>
      </w:r>
    </w:p>
    <w:p>
      <w:pPr>
        <w:pStyle w:val="ListParagraph"/>
        <w:numPr>
          <w:ilvl w:val="0"/>
          <w:numId w:val="2"/>
        </w:numPr>
        <w:spacing w:after="90" w:line="276"/>
      </w:pPr>
      <w:r>
        <w:rPr>
          <w:b/>
          <w:bCs/>
          <w:sz w:val="22"/>
          <w:szCs w:val="22"/>
        </w:rPr>
        <w:t xml:space="preserve">Home vs. away performance comparison: </w:t>
      </w:r>
      <w:r>
        <w:rPr>
          <w:sz w:val="22"/>
          <w:szCs w:val="22"/>
        </w:rPr>
        <w:t xml:space="preserve">a clustered bar chart of win/draw/loss rate and average goals split by home/away, sourced from agg_home_away_split.</w:t>
      </w:r>
    </w:p>
    <w:p>
      <w:pPr>
        <w:pStyle w:val="ListParagraph"/>
        <w:numPr>
          <w:ilvl w:val="0"/>
          <w:numId w:val="2"/>
        </w:numPr>
        <w:spacing w:after="90" w:line="276"/>
      </w:pPr>
      <w:r>
        <w:rPr>
          <w:b/>
          <w:bCs/>
          <w:sz w:val="22"/>
          <w:szCs w:val="22"/>
        </w:rPr>
        <w:t>Top scorers leaderboard &amp; team goal-scoring heatmap: a bar chart ranking this season's leading scorers by team (fact_top_scorers), alongside a matrix/heatmap of goals scored per team per matchday, highlighting scoring streaks and slumps at the team level (fact_matches).</w:t>
      </w:r>
      <w:r>
        <w:rPr>
          <w:sz w:val="22"/>
          <w:szCs w:val="22"/>
        </w:rPr>
      </w:r>
    </w:p>
    <w:p>
      <w:pPr>
        <w:pStyle w:val="Heading1"/>
        <w:spacing w:after="160" w:before="360"/>
      </w:pPr>
      <w:r>
        <w:rPr>
          <w:b/>
          <w:bCs/>
          <w:color w:val="1F4E79"/>
          <w:sz w:val="30"/>
          <w:szCs w:val="30"/>
        </w:rPr>
        <w:t xml:space="preserve">6. Engineering Setup &amp; FinOps</w:t>
      </w:r>
    </w:p>
    <w:p>
      <w:pPr>
        <w:pStyle w:val="Heading2"/>
        <w:spacing w:after="120" w:before="240"/>
      </w:pPr>
      <w:r>
        <w:rPr>
          <w:b/>
          <w:bCs/>
          <w:color w:val="1F4E79"/>
          <w:sz w:val="24"/>
          <w:szCs w:val="24"/>
        </w:rPr>
        <w:t xml:space="preserve">6.1 Version Control</w:t>
      </w:r>
    </w:p>
    <w:p>
      <w:pPr>
        <w:spacing w:after="160" w:line="276"/>
      </w:pPr>
      <w:r>
        <w:rPr>
          <w:sz w:val="22"/>
          <w:szCs w:val="22"/>
        </w:rPr>
        <w:t>A GitHub repository hosts the project code (Spark notebooks/scripts for Bronze/Silver/Gold), the real sample raw data files (/data/samples/), API verification and volume-estimate documentation (/docs/), and this proposal document. Repository link: https://github.com/AbdulahAzmat/football-analytics-lakehouse</w:t>
      </w:r>
    </w:p>
    <w:p>
      <w:pPr>
        <w:pStyle w:val="Heading2"/>
        <w:spacing w:after="120" w:before="240"/>
      </w:pPr>
      <w:r>
        <w:rPr>
          <w:b/>
          <w:bCs/>
          <w:color w:val="1F4E79"/>
          <w:sz w:val="24"/>
          <w:szCs w:val="24"/>
        </w:rPr>
        <w:t xml:space="preserve">6.2 Infrastructure</w:t>
      </w:r>
    </w:p>
    <w:p>
      <w:pPr>
        <w:spacing w:after="160" w:line="276"/>
      </w:pPr>
      <w:r>
        <w:rPr>
          <w:sz w:val="22"/>
          <w:szCs w:val="22"/>
        </w:rPr>
        <w:t xml:space="preserve">The pipeline will be built and run on Databricks Community Edition, using a single small free-tier cluster for all Spark (PySpark) transformation jobs across Bronze, Silver, and Gold layers.</w:t>
      </w:r>
    </w:p>
    <w:p>
      <w:pPr>
        <w:pStyle w:val="Heading2"/>
        <w:spacing w:after="120" w:before="240"/>
      </w:pPr>
      <w:r>
        <w:rPr>
          <w:b/>
          <w:bCs/>
          <w:color w:val="1F4E79"/>
          <w:sz w:val="24"/>
          <w:szCs w:val="24"/>
        </w:rPr>
        <w:t xml:space="preserve">6.3 Cost / FinOps Awareness</w:t>
      </w:r>
    </w:p>
    <w:p>
      <w:pPr>
        <w:pStyle w:val="ListParagraph"/>
        <w:numPr>
          <w:ilvl w:val="0"/>
          <w:numId w:val="2"/>
        </w:numPr>
        <w:spacing w:after="90" w:line="276"/>
      </w:pPr>
      <w:r>
        <w:rPr>
          <w:b/>
          <w:bCs/>
          <w:sz w:val="22"/>
          <w:szCs w:val="22"/>
        </w:rPr>
        <w:t xml:space="preserve">API quota management: </w:t>
      </w:r>
      <w:r>
        <w:rPr>
          <w:sz w:val="22"/>
          <w:szCs w:val="22"/>
        </w:rPr>
        <w:t xml:space="preserve">daily incremental pulls are scheduled once per day and scoped to only the competitions/date ranges we track, staying well under the 10 requests/minute free-tier limit.</w:t>
      </w:r>
    </w:p>
    <w:p>
      <w:pPr>
        <w:pStyle w:val="ListParagraph"/>
        <w:numPr>
          <w:ilvl w:val="0"/>
          <w:numId w:val="2"/>
        </w:numPr>
        <w:spacing w:after="90" w:line="276"/>
      </w:pPr>
      <w:r>
        <w:rPr>
          <w:b/>
          <w:bCs/>
          <w:sz w:val="22"/>
          <w:szCs w:val="22"/>
        </w:rPr>
        <w:t xml:space="preserve">Compute discipline: </w:t>
      </w:r>
      <w:r>
        <w:rPr>
          <w:sz w:val="22"/>
          <w:szCs w:val="22"/>
        </w:rPr>
        <w:t xml:space="preserve">Databricks Community Edition clusters auto-terminate after inactivity; we will avoid leaving clusters running idle and will batch development/testing to minimize cluster start-stop cycles.</w:t>
      </w:r>
    </w:p>
    <w:p>
      <w:pPr>
        <w:pStyle w:val="ListParagraph"/>
        <w:numPr>
          <w:ilvl w:val="0"/>
          <w:numId w:val="2"/>
        </w:numPr>
        <w:spacing w:after="90" w:line="276"/>
      </w:pPr>
      <w:r>
        <w:rPr>
          <w:b/>
          <w:bCs/>
          <w:sz w:val="22"/>
          <w:szCs w:val="22"/>
        </w:rPr>
        <w:t>Storage discipline: raw Bronze data is kept scoped to 4-5 competitions and 4 seasons (2023/24 through the current season - see Section 2.2 volume estimate) rather than ingesting all available competitions/seasons, keeping total storage in the low tens of MB - well within free-tier DBFS limits.</w:t>
      </w:r>
      <w:r>
        <w:rPr>
          <w:sz w:val="22"/>
          <w:szCs w:val="22"/>
        </w:rPr>
      </w:r>
    </w:p>
    <w:p>
      <w:pPr>
        <w:pStyle w:val="ListParagraph"/>
        <w:numPr>
          <w:ilvl w:val="0"/>
          <w:numId w:val="2"/>
        </w:numPr>
        <w:spacing w:after="90" w:line="276"/>
      </w:pPr>
      <w:r>
        <w:rPr>
          <w:b/>
          <w:bCs/>
          <w:sz w:val="22"/>
          <w:szCs w:val="22"/>
        </w:rPr>
        <w:t xml:space="preserve">Testing strategy: </w:t>
      </w:r>
      <w:r>
        <w:rPr>
          <w:sz w:val="22"/>
          <w:szCs w:val="22"/>
        </w:rPr>
        <w:t xml:space="preserve">pipeline logic will be developed and unit-tested against the small sample files (Section 2.1) before being run against the full historical dataset, minimizing wasted compute cycles from failed full-scale runs.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2026-09-25T17:45:49.762Z</dcterms:created>
  <dcterms:modified xsi:type="dcterms:W3CDTF">2026-09-25T17:45:49.771Z</dcterms:modified>
</cp:coreProperties>
</file>

<file path=docProps/custom.xml><?xml version="1.0" encoding="utf-8"?>
<Properties xmlns="http://schemas.openxmlformats.org/officeDocument/2006/custom-properties" xmlns:vt="http://schemas.openxmlformats.org/officeDocument/2006/docPropsVTypes"/>
</file>