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47.png" ContentType="image/png"/>
  <Override PartName="/word/media/rId53.png" ContentType="image/png"/>
  <Override PartName="/word/media/rId26.png" ContentType="image/png"/>
  <Override PartName="/word/media/rId57.png" ContentType="image/png"/>
  <Override PartName="/word/media/rId65.png" ContentType="image/png"/>
  <Override PartName="/word/media/rId60.png" ContentType="image/png"/>
  <Override PartName="/word/media/rId12.png" ContentType="image/png"/>
  <Override PartName="/word/media/rId23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Dugong Watch</w:t>
      </w:r>
    </w:p>
    <w:p>
      <w:pPr>
        <w:pStyle w:val="FirstParagraph"/>
      </w:pPr>
      <w:r>
        <w:t xml:space="preserve">Seagrass Habitat Risk Mapping for Dugong Conservation</w:t>
      </w:r>
    </w:p>
    <w:p>
      <w:pPr>
        <w:pStyle w:val="BodyText"/>
      </w:pPr>
      <w:r>
        <w:t xml:space="preserve">Marawah / Bu Tinah Marine Biosphere Reserve — Abu Dhabi, UAE</w:t>
      </w:r>
    </w:p>
    <w:p>
      <w:pPr>
        <w:pStyle w:val="BodyText"/>
      </w:pPr>
      <w:r>
        <w:t xml:space="preserve">Prototypes for Humanity 2026 — Submission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 &amp; Problem Statement</w:t>
      </w:r>
    </w:p>
    <w:p>
      <w:pPr>
        <w:pStyle w:val="Compact"/>
        <w:numPr>
          <w:ilvl w:val="0"/>
          <w:numId w:val="1001"/>
        </w:numPr>
      </w:pPr>
      <w:r>
        <w:t xml:space="preserve">Literature Review</w:t>
      </w:r>
    </w:p>
    <w:p>
      <w:pPr>
        <w:pStyle w:val="Compact"/>
        <w:numPr>
          <w:ilvl w:val="0"/>
          <w:numId w:val="1001"/>
        </w:numPr>
      </w:pPr>
      <w:r>
        <w:t xml:space="preserve">Methodology</w:t>
      </w:r>
    </w:p>
    <w:p>
      <w:pPr>
        <w:pStyle w:val="Compact"/>
        <w:numPr>
          <w:ilvl w:val="0"/>
          <w:numId w:val="1001"/>
        </w:numPr>
      </w:pPr>
      <w:r>
        <w:t xml:space="preserve">Results</w:t>
      </w:r>
    </w:p>
    <w:p>
      <w:pPr>
        <w:pStyle w:val="Compact"/>
        <w:numPr>
          <w:ilvl w:val="0"/>
          <w:numId w:val="1001"/>
        </w:numPr>
      </w:pPr>
      <w:r>
        <w:t xml:space="preserve">Impact</w:t>
      </w:r>
    </w:p>
    <w:p>
      <w:pPr>
        <w:pStyle w:val="Compact"/>
        <w:numPr>
          <w:ilvl w:val="0"/>
          <w:numId w:val="1001"/>
        </w:numPr>
      </w:pPr>
      <w:r>
        <w:t xml:space="preserve">Competition Prompt Answers</w:t>
      </w:r>
    </w:p>
    <w:p>
      <w:pPr>
        <w:pStyle w:val="Compact"/>
        <w:numPr>
          <w:ilvl w:val="0"/>
          <w:numId w:val="1001"/>
        </w:numPr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Limitations</w:t>
      </w:r>
    </w:p>
    <w:bookmarkEnd w:id="9"/>
    <w:bookmarkStart w:id="17" w:name="introduction-problem-statement"/>
    <w:p>
      <w:pPr>
        <w:pStyle w:val="Heading1"/>
      </w:pPr>
      <w:r>
        <w:t xml:space="preserve">1. Introduction &amp; Problem Statement</w:t>
      </w:r>
    </w:p>
    <w:bookmarkStart w:id="10" w:name="background"/>
    <w:p>
      <w:pPr>
        <w:pStyle w:val="Heading2"/>
      </w:pPr>
      <w:r>
        <w:t xml:space="preserve">1.1 Background</w:t>
      </w:r>
    </w:p>
    <w:p>
      <w:pPr>
        <w:pStyle w:val="FirstParagraph"/>
      </w:pPr>
      <w:r>
        <w:t xml:space="preserve">A dugong can live for up to seventy years, and will spend almost all of them</w:t>
      </w:r>
      <w:r>
        <w:t xml:space="preserve"> </w:t>
      </w:r>
      <w:r>
        <w:t xml:space="preserve">doing a single thing: grazing seagrass in shallow coastal water. Remove the</w:t>
      </w:r>
      <w:r>
        <w:t xml:space="preserve"> </w:t>
      </w:r>
      <w:r>
        <w:t xml:space="preserve">seagrass and the animal has nowhere left to feed. That absolute dependency —</w:t>
      </w:r>
      <w:r>
        <w:t xml:space="preserve"> </w:t>
      </w:r>
      <w:r>
        <w:t xml:space="preserve">one animal, one habitat — is what this project sets out to protect.</w:t>
      </w:r>
    </w:p>
    <w:p>
      <w:pPr>
        <w:pStyle w:val="BodyText"/>
      </w:pPr>
      <w:r>
        <w:t xml:space="preserve">The dugong (</w:t>
      </w:r>
      <w:r>
        <w:rPr>
          <w:i/>
          <w:iCs/>
        </w:rPr>
        <w:t xml:space="preserve">Dugong dugon</w:t>
      </w:r>
      <w:r>
        <w:t xml:space="preserve">) is a marine mammal whose survival is bound</w:t>
      </w:r>
      <w:r>
        <w:t xml:space="preserve"> </w:t>
      </w:r>
      <w:r>
        <w:t xml:space="preserve">almost entirely to a single resource: seagrass. Dugongs feed nearly</w:t>
      </w:r>
      <w:r>
        <w:t xml:space="preserve"> </w:t>
      </w:r>
      <w:r>
        <w:t xml:space="preserve">exclusively on seagrass meadows, and the Arabian Gulf population — centred</w:t>
      </w:r>
      <w:r>
        <w:t xml:space="preserve"> </w:t>
      </w:r>
      <w:r>
        <w:t xml:space="preserve">on the waters of Abu Dhabi — is the second-largest in the world after</w:t>
      </w:r>
      <w:r>
        <w:t xml:space="preserve"> </w:t>
      </w:r>
      <w:r>
        <w:t xml:space="preserve">Australia’s, with an estimated 3,000–3,500 individuals. The Marawah Marine</w:t>
      </w:r>
      <w:r>
        <w:t xml:space="preserve"> </w:t>
      </w:r>
      <w:r>
        <w:t xml:space="preserve">Biosphere Reserve, encompassing Marawah Island and the wider Bu Tinah</w:t>
      </w:r>
      <w:r>
        <w:t xml:space="preserve"> </w:t>
      </w:r>
      <w:r>
        <w:t xml:space="preserve">archipelago, holds the highest concentration of this population and is</w:t>
      </w:r>
      <w:r>
        <w:t xml:space="preserve"> </w:t>
      </w:r>
      <w:r>
        <w:t xml:space="preserve">recognised by UNESCO as a Man and the Biosphere reserve.</w:t>
      </w:r>
    </w:p>
    <w:p>
      <w:pPr>
        <w:pStyle w:val="BodyText"/>
      </w:pPr>
      <w:r>
        <w:t xml:space="preserve">This population’s survival depends on the condition of seagrass meadows</w:t>
      </w:r>
      <w:r>
        <w:t xml:space="preserve"> </w:t>
      </w:r>
      <w:r>
        <w:t xml:space="preserve">that are themselves under measurable pressure: coastal development and</w:t>
      </w:r>
      <w:r>
        <w:t xml:space="preserve"> </w:t>
      </w:r>
      <w:r>
        <w:t xml:space="preserve">dredging, desalination and industrial discharge, marine heatwaves in one of</w:t>
      </w:r>
      <w:r>
        <w:t xml:space="preserve"> </w:t>
      </w:r>
      <w:r>
        <w:t xml:space="preserve">the hottest seas on Earth, and vessel traffic in the shallow (under 5 m)</w:t>
      </w:r>
      <w:r>
        <w:t xml:space="preserve"> </w:t>
      </w:r>
      <w:r>
        <w:t xml:space="preserve">waters where dugongs feed. Conservation and development planning in the</w:t>
      </w:r>
      <w:r>
        <w:t xml:space="preserve"> </w:t>
      </w:r>
      <w:r>
        <w:t xml:space="preserve">region therefore requires a way to answer a specific, practical question —</w:t>
      </w:r>
      <w:r>
        <w:t xml:space="preserve"> </w:t>
      </w:r>
      <w:r>
        <w:t xml:space="preserve">not simply</w:t>
      </w:r>
      <w:r>
        <w:t xml:space="preserve"> </w:t>
      </w:r>
      <w:r>
        <w:t xml:space="preserve">“where is there seagrass,”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where is seagrass both present</w:t>
      </w:r>
      <w:r>
        <w:rPr>
          <w:b/>
          <w:bCs/>
        </w:rPr>
        <w:t xml:space="preserve"> </w:t>
      </w:r>
      <w:r>
        <w:rPr>
          <w:b/>
          <w:bCs/>
        </w:rPr>
        <w:t xml:space="preserve">and under enough pressure that its loss would matter for dugong survival</w:t>
      </w:r>
      <w:r>
        <w:t xml:space="preserve">.</w:t>
      </w:r>
    </w:p>
    <w:bookmarkEnd w:id="10"/>
    <w:bookmarkStart w:id="11" w:name="problem-statement"/>
    <w:p>
      <w:pPr>
        <w:pStyle w:val="Heading2"/>
      </w:pPr>
      <w:r>
        <w:t xml:space="preserve">1.2 Problem statement</w:t>
      </w:r>
    </w:p>
    <w:p>
      <w:pPr>
        <w:pStyle w:val="FirstParagraph"/>
      </w:pPr>
      <w:r>
        <w:t xml:space="preserve">At present, answering that question requires combining several kinds of</w:t>
      </w:r>
      <w:r>
        <w:t xml:space="preserve"> </w:t>
      </w:r>
      <w:r>
        <w:t xml:space="preserve">information that are not usually brought together: habitat maps (which</w:t>
      </w:r>
      <w:r>
        <w:t xml:space="preserve"> </w:t>
      </w:r>
      <w:r>
        <w:t xml:space="preserve">seagrass exists, and where), habitat change over time (is it being lost),</w:t>
      </w:r>
      <w:r>
        <w:t xml:space="preserve"> </w:t>
      </w:r>
      <w:r>
        <w:t xml:space="preserve">and threat data (what human and environmental pressures act on a given</w:t>
      </w:r>
      <w:r>
        <w:t xml:space="preserve"> </w:t>
      </w:r>
      <w:r>
        <w:t xml:space="preserve">location). Habitat surveys are episodic and expensive to run at scale;</w:t>
      </w:r>
      <w:r>
        <w:t xml:space="preserve"> </w:t>
      </w:r>
      <w:r>
        <w:t xml:space="preserve">threat data exists in scattered, non-standardised sources; and there is, to</w:t>
      </w:r>
      <w:r>
        <w:t xml:space="preserve"> </w:t>
      </w:r>
      <w:r>
        <w:t xml:space="preserve">our knowledge, no publicly available, reproducible model that combines</w:t>
      </w:r>
      <w:r>
        <w:t xml:space="preserve"> </w:t>
      </w:r>
      <w:r>
        <w:t xml:space="preserve">these into a single, ranked map of</w:t>
      </w:r>
      <w:r>
        <w:t xml:space="preserve"> </w:t>
      </w:r>
      <w:r>
        <w:rPr>
          <w:i/>
          <w:iCs/>
        </w:rPr>
        <w:t xml:space="preserve">risk to dugong habitat specifically</w:t>
      </w:r>
      <w:r>
        <w:t xml:space="preserve"> </w:t>
      </w:r>
      <w:r>
        <w:t xml:space="preserve">—</w:t>
      </w:r>
      <w:r>
        <w:t xml:space="preserve"> </w:t>
      </w:r>
      <w:r>
        <w:t xml:space="preserve">as opposed to generic seagrass extent maps or generic environmental risk</w:t>
      </w:r>
      <w:r>
        <w:t xml:space="preserve"> </w:t>
      </w:r>
      <w:r>
        <w:t xml:space="preserve">indices that are not conditioned on dugong presence.</w:t>
      </w:r>
    </w:p>
    <w:p>
      <w:pPr>
        <w:pStyle w:val="BodyText"/>
      </w:pPr>
      <w:r>
        <w:t xml:space="preserve">This creates a gap between the data that exists (increasingly high-quality</w:t>
      </w:r>
      <w:r>
        <w:t xml:space="preserve"> </w:t>
      </w:r>
      <w:r>
        <w:t xml:space="preserve">free satellite imagery, and habitat records held by agencies such as the</w:t>
      </w:r>
      <w:r>
        <w:t xml:space="preserve"> </w:t>
      </w:r>
      <w:r>
        <w:t xml:space="preserve">Environment Agency – Abu Dhabi) and the decision-relevant product that</w:t>
      </w:r>
      <w:r>
        <w:t xml:space="preserve"> </w:t>
      </w:r>
      <w:r>
        <w:t xml:space="preserve">conservation planners, regulators, and researchers actually need: a</w:t>
      </w:r>
      <w:r>
        <w:t xml:space="preserve"> </w:t>
      </w:r>
      <w:r>
        <w:t xml:space="preserve">transparent, updatable, and auditable answer to</w:t>
      </w:r>
      <w:r>
        <w:t xml:space="preserve"> </w:t>
      </w:r>
      <w:r>
        <w:t xml:space="preserve">“if we can only act in a</w:t>
      </w:r>
      <w:r>
        <w:t xml:space="preserve"> </w:t>
      </w:r>
      <w:r>
        <w:t xml:space="preserve">few places, where should we act first?”</w:t>
      </w:r>
    </w:p>
    <w:bookmarkEnd w:id="11"/>
    <w:bookmarkStart w:id="15" w:name="project-objective"/>
    <w:p>
      <w:pPr>
        <w:pStyle w:val="Heading2"/>
      </w:pPr>
      <w:r>
        <w:t xml:space="preserve">1.3 Project objective</w:t>
      </w:r>
    </w:p>
    <w:p>
      <w:pPr>
        <w:pStyle w:val="FirstParagraph"/>
      </w:pPr>
      <w:r>
        <w:rPr>
          <w:b/>
          <w:bCs/>
        </w:rPr>
        <w:t xml:space="preserve">Dugong Watch</w:t>
      </w:r>
      <w:r>
        <w:t xml:space="preserve"> </w:t>
      </w:r>
      <w:r>
        <w:t xml:space="preserve">builds an end-to-end, reproducible pipeline that:</w:t>
      </w:r>
    </w:p>
    <w:p>
      <w:pPr>
        <w:pStyle w:val="Compact"/>
        <w:numPr>
          <w:ilvl w:val="0"/>
          <w:numId w:val="1002"/>
        </w:numPr>
      </w:pPr>
      <w:r>
        <w:t xml:space="preserve">Classifies seagrass presence from free Sentinel-2 satellite imagery using</w:t>
      </w:r>
      <w:r>
        <w:t xml:space="preserve"> </w:t>
      </w:r>
      <w:r>
        <w:t xml:space="preserve">a supervised machine-learning model, trained and validated against</w:t>
      </w:r>
      <w:r>
        <w:t xml:space="preserve"> </w:t>
      </w:r>
      <w:r>
        <w:t xml:space="preserve">official Environment Agency – Abu Dhabi (EAD) habitat survey data;</w:t>
      </w:r>
    </w:p>
    <w:p>
      <w:pPr>
        <w:pStyle w:val="Compact"/>
        <w:numPr>
          <w:ilvl w:val="0"/>
          <w:numId w:val="1002"/>
        </w:numPr>
      </w:pPr>
      <w:r>
        <w:t xml:space="preserve">Detects seagrass change between two time periods from the same imagery</w:t>
      </w:r>
      <w:r>
        <w:t xml:space="preserve"> </w:t>
      </w:r>
      <w:r>
        <w:t xml:space="preserve">source;</w:t>
      </w:r>
    </w:p>
    <w:p>
      <w:pPr>
        <w:pStyle w:val="Compact"/>
        <w:numPr>
          <w:ilvl w:val="0"/>
          <w:numId w:val="1002"/>
        </w:numPr>
      </w:pPr>
      <w:r>
        <w:t xml:space="preserve">Combines that habitat information with five real, geographically</w:t>
      </w:r>
      <w:r>
        <w:t xml:space="preserve"> </w:t>
      </w:r>
      <w:r>
        <w:t xml:space="preserve">specific threat factors — observed seagrass loss, coastal development,</w:t>
      </w:r>
      <w:r>
        <w:t xml:space="preserve"> </w:t>
      </w:r>
      <w:r>
        <w:t xml:space="preserve">thermal stress, industrial/desalination discharge, and vessel pressure —</w:t>
      </w:r>
      <w:r>
        <w:t xml:space="preserve"> </w:t>
      </w:r>
      <w:r>
        <w:t xml:space="preserve">into a single, weighted, and explicitly justified risk index; and</w:t>
      </w:r>
    </w:p>
    <w:p>
      <w:pPr>
        <w:pStyle w:val="Compact"/>
        <w:numPr>
          <w:ilvl w:val="0"/>
          <w:numId w:val="1002"/>
        </w:numPr>
      </w:pPr>
      <w:r>
        <w:t xml:space="preserve">Surfaces the result as a ranked, interactive map that a non-technical</w:t>
      </w:r>
      <w:r>
        <w:t xml:space="preserve"> </w:t>
      </w:r>
      <w:r>
        <w:t xml:space="preserve">stakeholder can use directly, alongside the underlying data and code so</w:t>
      </w:r>
      <w:r>
        <w:t xml:space="preserve"> </w:t>
      </w:r>
      <w:r>
        <w:t xml:space="preserve">that every step of the model can be audited, reproduced, or challenged.</w:t>
      </w:r>
    </w:p>
    <w:p>
      <w:pPr>
        <w:pStyle w:val="FirstParagraph"/>
      </w:pPr>
      <w:r>
        <w:t xml:space="preserve">The guiding design principle throughout is</w:t>
      </w:r>
      <w:r>
        <w:t xml:space="preserve"> </w:t>
      </w:r>
      <w:r>
        <w:rPr>
          <w:b/>
          <w:bCs/>
        </w:rPr>
        <w:t xml:space="preserve">transparency over</w:t>
      </w:r>
      <w:r>
        <w:rPr>
          <w:b/>
          <w:bCs/>
        </w:rPr>
        <w:t xml:space="preserve"> </w:t>
      </w:r>
      <w:r>
        <w:rPr>
          <w:b/>
          <w:bCs/>
        </w:rPr>
        <w:t xml:space="preserve">sophistication</w:t>
      </w:r>
      <w:r>
        <w:t xml:space="preserve">: every weight in the risk model is a documented, justified</w:t>
      </w:r>
      <w:r>
        <w:t xml:space="preserve"> </w:t>
      </w:r>
      <w:r>
        <w:t xml:space="preserve">parameter rather than a black box, every threat layer’s provenance is</w:t>
      </w:r>
      <w:r>
        <w:t xml:space="preserve"> </w:t>
      </w:r>
      <w:r>
        <w:t xml:space="preserve">labelled as real-coordinate or schematic, and the model’s own sensitivity to</w:t>
      </w:r>
      <w:r>
        <w:t xml:space="preserve"> </w:t>
      </w:r>
      <w:r>
        <w:t xml:space="preserve">its assumptions is tested and reported rather than assumed.</w:t>
      </w:r>
    </w:p>
    <w:p>
      <w:pPr>
        <w:pStyle w:val="CaptionedFigure"/>
      </w:pPr>
      <w:r>
        <w:drawing>
          <wp:inline>
            <wp:extent cx="5334000" cy="1189108"/>
            <wp:effectExtent b="0" l="0" r="0" t="0"/>
            <wp:docPr descr="System architecture: free satellite imagery and official survey data flow through Google Earth Engine into a machine-learning classifier and a weighted risk model, producing a ranked, auditable output delivered as an interactive dashboard and report." title="" id="13" name="Picture"/>
            <a:graphic>
              <a:graphicData uri="http://schemas.openxmlformats.org/drawingml/2006/picture">
                <pic:pic>
                  <pic:nvPicPr>
                    <pic:cNvPr descr="../diagrams/1_system_archite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9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architecture: free satellite imagery and official survey data flow through Google Earth Engine into a machine-learning classifier and a weighted risk model, producing a ranked, auditable output delivered as an interactive dashboard and report.</w:t>
      </w:r>
    </w:p>
    <w:bookmarkEnd w:id="15"/>
    <w:bookmarkStart w:id="16" w:name="scope"/>
    <w:p>
      <w:pPr>
        <w:pStyle w:val="Heading2"/>
      </w:pPr>
      <w:r>
        <w:t xml:space="preserve">1.4 Scope</w:t>
      </w:r>
    </w:p>
    <w:p>
      <w:pPr>
        <w:pStyle w:val="FirstParagraph"/>
      </w:pPr>
      <w:r>
        <w:t xml:space="preserve">This project focuses on the Marawah / Bu Tinah region of the Arabian Gulf,</w:t>
      </w:r>
      <w:r>
        <w:t xml:space="preserve"> </w:t>
      </w:r>
      <w:r>
        <w:t xml:space="preserve">Abu Dhabi, UAE, using 2019 and 2024 as the compared time periods (matching</w:t>
      </w:r>
      <w:r>
        <w:t xml:space="preserve"> </w:t>
      </w:r>
      <w:r>
        <w:t xml:space="preserve">the years of best available cloud-free Sentinel-2 coverage). The seagrass</w:t>
      </w:r>
      <w:r>
        <w:t xml:space="preserve"> </w:t>
      </w:r>
      <w:r>
        <w:t xml:space="preserve">classification uses a binary scheme (</w:t>
      </w:r>
      <w:r>
        <w:rPr>
          <w:rStyle w:val="VerbatimChar"/>
        </w:rPr>
        <w:t xml:space="preserve">1 = seagrass</w:t>
      </w:r>
      <w:r>
        <w:t xml:space="preserve">,</w:t>
      </w:r>
      <w:r>
        <w:t xml:space="preserve"> </w:t>
      </w:r>
      <w:r>
        <w:rPr>
          <w:rStyle w:val="VerbatimChar"/>
        </w:rPr>
        <w:t xml:space="preserve">0 = non-seagrass</w:t>
      </w:r>
      <w:r>
        <w:t xml:space="preserve">),</w:t>
      </w:r>
      <w:r>
        <w:t xml:space="preserve"> </w:t>
      </w:r>
      <w:r>
        <w:t xml:space="preserve">locked to match the structure of the training data supplied by EAD. The</w:t>
      </w:r>
      <w:r>
        <w:t xml:space="preserve"> </w:t>
      </w:r>
      <w:r>
        <w:t xml:space="preserve">risk model is explicitly scoped as a</w:t>
      </w:r>
      <w:r>
        <w:t xml:space="preserve"> </w:t>
      </w:r>
      <w:r>
        <w:rPr>
          <w:b/>
          <w:bCs/>
        </w:rPr>
        <w:t xml:space="preserve">relative</w:t>
      </w:r>
      <w:r>
        <w:t xml:space="preserve"> </w:t>
      </w:r>
      <w:r>
        <w:t xml:space="preserve">risk index — it ranks</w:t>
      </w:r>
      <w:r>
        <w:t xml:space="preserve"> </w:t>
      </w:r>
      <w:r>
        <w:t xml:space="preserve">locations within the study area against each other, not against an absolute</w:t>
      </w:r>
      <w:r>
        <w:t xml:space="preserve"> </w:t>
      </w:r>
      <w:r>
        <w:t xml:space="preserve">probability of habitat loss.</w:t>
      </w:r>
    </w:p>
    <w:bookmarkEnd w:id="16"/>
    <w:bookmarkEnd w:id="17"/>
    <w:bookmarkStart w:id="22" w:name="literature-review"/>
    <w:p>
      <w:pPr>
        <w:pStyle w:val="Heading1"/>
      </w:pPr>
      <w:r>
        <w:t xml:space="preserve">2. Literature Review</w:t>
      </w:r>
    </w:p>
    <w:bookmarkStart w:id="18" w:name="Xb930521370e41a61e29368eeca0e1e3e5471a90"/>
    <w:p>
      <w:pPr>
        <w:pStyle w:val="Heading2"/>
      </w:pPr>
      <w:r>
        <w:t xml:space="preserve">2.1 Dugong ecology, distribution, and conservation status</w:t>
      </w:r>
    </w:p>
    <w:p>
      <w:pPr>
        <w:pStyle w:val="FirstParagraph"/>
      </w:pPr>
      <w:r>
        <w:t xml:space="preserve">Marsh et al. (2002, 2011) established much</w:t>
      </w:r>
      <w:r>
        <w:t xml:space="preserve"> </w:t>
      </w:r>
      <w:r>
        <w:t xml:space="preserve">of the baseline understanding of dugong population ecology, movement, and</w:t>
      </w:r>
      <w:r>
        <w:t xml:space="preserve"> </w:t>
      </w:r>
      <w:r>
        <w:t xml:space="preserve">the threats facing dugong populations globally — habitat loss, bycatch, and</w:t>
      </w:r>
      <w:r>
        <w:t xml:space="preserve"> </w:t>
      </w:r>
      <w:r>
        <w:t xml:space="preserve">vessel strike are consistently identified as the primary drivers of decline</w:t>
      </w:r>
      <w:r>
        <w:t xml:space="preserve"> </w:t>
      </w:r>
      <w:r>
        <w:t xml:space="preserve">across dugong range states. This project’s threat model (Section 3) draws</w:t>
      </w:r>
      <w:r>
        <w:t xml:space="preserve"> </w:t>
      </w:r>
      <w:r>
        <w:t xml:space="preserve">directly on that finding: observed habitat loss is weighted as the single</w:t>
      </w:r>
      <w:r>
        <w:t xml:space="preserve"> </w:t>
      </w:r>
      <w:r>
        <w:t xml:space="preserve">largest threat factor precisely because the literature treats it as the</w:t>
      </w:r>
      <w:r>
        <w:t xml:space="preserve"> </w:t>
      </w:r>
      <w:r>
        <w:t xml:space="preserve">most consequential and most directly observable driver of decline.</w:t>
      </w:r>
    </w:p>
    <w:p>
      <w:pPr>
        <w:pStyle w:val="BodyText"/>
      </w:pPr>
      <w:r>
        <w:t xml:space="preserve">The Marine Mammal Protected Areas Task Force’s</w:t>
      </w:r>
      <w:r>
        <w:t xml:space="preserve"> </w:t>
      </w:r>
      <w:r>
        <w:rPr>
          <w:i/>
          <w:iCs/>
        </w:rPr>
        <w:t xml:space="preserve">Southern Gulf and Coastal</w:t>
      </w:r>
      <w:r>
        <w:rPr>
          <w:i/>
          <w:iCs/>
        </w:rPr>
        <w:t xml:space="preserve"> </w:t>
      </w:r>
      <w:r>
        <w:rPr>
          <w:i/>
          <w:iCs/>
        </w:rPr>
        <w:t xml:space="preserve">Waters</w:t>
      </w:r>
      <w:r>
        <w:t xml:space="preserve"> </w:t>
      </w:r>
      <w:r>
        <w:t xml:space="preserve">Important Marine Mammal Area (IMMA) factsheet documents the Arabian</w:t>
      </w:r>
      <w:r>
        <w:t xml:space="preserve"> </w:t>
      </w:r>
      <w:r>
        <w:t xml:space="preserve">Gulf’s dugong population as the second-largest globally, with Abu Dhabi</w:t>
      </w:r>
      <w:r>
        <w:t xml:space="preserve"> </w:t>
      </w:r>
      <w:r>
        <w:t xml:space="preserve">waters — and the Marawah/Bu Tinah area specifically — identified as the</w:t>
      </w:r>
      <w:r>
        <w:t xml:space="preserve"> </w:t>
      </w:r>
      <w:r>
        <w:t xml:space="preserve">area of highest regional density. This factsheet is the primary basis for</w:t>
      </w:r>
      <w:r>
        <w:t xml:space="preserve"> </w:t>
      </w:r>
      <w:r>
        <w:t xml:space="preserve">this project’s</w:t>
      </w:r>
      <w:r>
        <w:t xml:space="preserve"> </w:t>
      </w:r>
      <w:r>
        <w:t xml:space="preserve">“dugong use”</w:t>
      </w:r>
      <w:r>
        <w:t xml:space="preserve"> </w:t>
      </w:r>
      <w:r>
        <w:t xml:space="preserve">surface (Section 3.2), which weights seagrass</w:t>
      </w:r>
      <w:r>
        <w:t xml:space="preserve"> </w:t>
      </w:r>
      <w:r>
        <w:t xml:space="preserve">value more heavily near documented high-density cores.</w:t>
      </w:r>
    </w:p>
    <w:p>
      <w:pPr>
        <w:pStyle w:val="BodyText"/>
      </w:pPr>
      <w:r>
        <w:t xml:space="preserve">The Environment Agency – Abu Dhabi’s 2015 aerial dugong survey provides the</w:t>
      </w:r>
      <w:r>
        <w:t xml:space="preserve"> </w:t>
      </w:r>
      <w:r>
        <w:t xml:space="preserve">most recent systematic count data for the region and corroborates the IMMA</w:t>
      </w:r>
      <w:r>
        <w:t xml:space="preserve"> </w:t>
      </w:r>
      <w:r>
        <w:t xml:space="preserve">factsheet’s density pattern. The Dugong &amp; Seagrass Conservation Project</w:t>
      </w:r>
      <w:r>
        <w:t xml:space="preserve"> </w:t>
      </w:r>
      <w:r>
        <w:t xml:space="preserve">(dugongseagrass.org, UAE chapter) documents region-specific threats —</w:t>
      </w:r>
      <w:r>
        <w:t xml:space="preserve"> </w:t>
      </w:r>
      <w:r>
        <w:t xml:space="preserve">notably land reclamation and dredging as the leading local drivers of</w:t>
      </w:r>
      <w:r>
        <w:t xml:space="preserve"> </w:t>
      </w:r>
      <w:r>
        <w:t xml:space="preserve">seagrass loss in the southern Gulf, and the fact that Gulf seagrass meadows</w:t>
      </w:r>
      <w:r>
        <w:t xml:space="preserve"> </w:t>
      </w:r>
      <w:r>
        <w:t xml:space="preserve">support only three heat-tolerant species due to the region’s extreme summer</w:t>
      </w:r>
      <w:r>
        <w:t xml:space="preserve"> </w:t>
      </w:r>
      <w:r>
        <w:t xml:space="preserve">sea-surface temperatures (regularly exceeding 36°C). Both findings are</w:t>
      </w:r>
      <w:r>
        <w:t xml:space="preserve"> </w:t>
      </w:r>
      <w:r>
        <w:t xml:space="preserve">incorporated directly into this project’s threat weighting (Section 3.3).</w:t>
      </w:r>
    </w:p>
    <w:p>
      <w:pPr>
        <w:pStyle w:val="BodyText"/>
      </w:pPr>
      <w:r>
        <w:t xml:space="preserve">Regional studies of persistent Gulf dugong aggregations in the same</w:t>
      </w:r>
      <w:r>
        <w:t xml:space="preserve"> </w:t>
      </w:r>
      <w:r>
        <w:t xml:space="preserve">extreme-thermal, shallow-water environment as Marawah inform two specific</w:t>
      </w:r>
      <w:r>
        <w:t xml:space="preserve"> </w:t>
      </w:r>
      <w:r>
        <w:t xml:space="preserve">choices in the risk model’s threat weighting: that vessel and boat</w:t>
      </w:r>
      <w:r>
        <w:t xml:space="preserve"> </w:t>
      </w:r>
      <w:r>
        <w:t xml:space="preserve">disturbance is a documented pressure on shallow-water Gulf dugong</w:t>
      </w:r>
      <w:r>
        <w:t xml:space="preserve"> </w:t>
      </w:r>
      <w:r>
        <w:t xml:space="preserve">aggregations, and that it acts primarily on the animals’ behaviour rather</w:t>
      </w:r>
      <w:r>
        <w:t xml:space="preserve"> </w:t>
      </w:r>
      <w:r>
        <w:t xml:space="preserve">than on the seagrass substrate itself — which is why vessel pressure is</w:t>
      </w:r>
      <w:r>
        <w:t xml:space="preserve"> </w:t>
      </w:r>
      <w:r>
        <w:t xml:space="preserve">weighted below observed habitat loss in this project’s model (Section 3.3).</w:t>
      </w:r>
    </w:p>
    <w:bookmarkEnd w:id="18"/>
    <w:bookmarkStart w:id="19" w:name="habitat-risk-assessment-methodology"/>
    <w:p>
      <w:pPr>
        <w:pStyle w:val="Heading2"/>
      </w:pPr>
      <w:r>
        <w:t xml:space="preserve">2.2 Habitat risk assessment methodology</w:t>
      </w:r>
    </w:p>
    <w:p>
      <w:pPr>
        <w:pStyle w:val="FirstParagraph"/>
      </w:pPr>
      <w:r>
        <w:t xml:space="preserve">This project’s core analytical framework — that risk should be modelled as</w:t>
      </w:r>
      <w:r>
        <w:t xml:space="preserve"> </w:t>
      </w:r>
      <w:r>
        <w:rPr>
          <w:b/>
          <w:bCs/>
        </w:rPr>
        <w:t xml:space="preserve">exposure × consequence</w:t>
      </w:r>
      <w:r>
        <w:t xml:space="preserve">, i.e. that a location is only high-risk if both</w:t>
      </w:r>
      <w:r>
        <w:t xml:space="preserve"> </w:t>
      </w:r>
      <w:r>
        <w:t xml:space="preserve">valuable habitat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real pressure are present simultaneously — is not</w:t>
      </w:r>
      <w:r>
        <w:t xml:space="preserve"> </w:t>
      </w:r>
      <w:r>
        <w:t xml:space="preserve">original to this project. It follows two established frameworks directly:</w:t>
      </w:r>
    </w:p>
    <w:p>
      <w:pPr>
        <w:pStyle w:val="BodyText"/>
      </w:pPr>
      <w:r>
        <w:rPr>
          <w:b/>
          <w:bCs/>
        </w:rPr>
        <w:t xml:space="preserve">Halpern et al. (2008)</w:t>
      </w:r>
      <w:r>
        <w:t xml:space="preserve">,</w:t>
      </w:r>
      <w:r>
        <w:t xml:space="preserve"> </w:t>
      </w:r>
      <w:r>
        <w:rPr>
          <w:i/>
          <w:iCs/>
        </w:rPr>
        <w:t xml:space="preserve">A global map of human impact on marine</w:t>
      </w:r>
      <w:r>
        <w:rPr>
          <w:i/>
          <w:iCs/>
        </w:rPr>
        <w:t xml:space="preserve"> </w:t>
      </w:r>
      <w:r>
        <w:rPr>
          <w:i/>
          <w:iCs/>
        </w:rPr>
        <w:t xml:space="preserve">ecosystems</w:t>
      </w:r>
      <w:r>
        <w:t xml:space="preserve"> </w:t>
      </w:r>
      <w:r>
        <w:t xml:space="preserve">(</w:t>
      </w:r>
      <w:r>
        <w:rPr>
          <w:i/>
          <w:iCs/>
        </w:rPr>
        <w:t xml:space="preserve">Science</w:t>
      </w:r>
      <w:r>
        <w:t xml:space="preserve">), established the cumulative human-impact mapping</w:t>
      </w:r>
      <w:r>
        <w:t xml:space="preserve"> </w:t>
      </w:r>
      <w:r>
        <w:t xml:space="preserve">approach this project’s threat layer (a weighted overlay of multiple</w:t>
      </w:r>
      <w:r>
        <w:t xml:space="preserve"> </w:t>
      </w:r>
      <w:r>
        <w:t xml:space="preserve">independently-sourced pressure factors) is modelled on.</w:t>
      </w:r>
    </w:p>
    <w:p>
      <w:pPr>
        <w:pStyle w:val="BodyText"/>
      </w:pPr>
      <w:r>
        <w:rPr>
          <w:b/>
          <w:bCs/>
        </w:rPr>
        <w:t xml:space="preserve">Arkema et al. (2013)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InVEST Habitat Risk</w:t>
      </w:r>
      <w:r>
        <w:rPr>
          <w:b/>
          <w:bCs/>
        </w:rPr>
        <w:t xml:space="preserve"> </w:t>
      </w:r>
      <w:r>
        <w:rPr>
          <w:b/>
          <w:bCs/>
        </w:rPr>
        <w:t xml:space="preserve">Assessment (HRA)</w:t>
      </w:r>
      <w:r>
        <w:t xml:space="preserve"> </w:t>
      </w:r>
      <w:r>
        <w:t xml:space="preserve">model (Natural Capital Project) formalise</w:t>
      </w:r>
      <w:r>
        <w:t xml:space="preserve"> </w:t>
      </w:r>
      <w:r>
        <w:t xml:space="preserve">the specific exposure-times-consequence logic this project’s</w:t>
      </w:r>
      <w:r>
        <w:t xml:space="preserve"> </w:t>
      </w:r>
      <w:r>
        <w:rPr>
          <w:rStyle w:val="VerbatimChar"/>
        </w:rPr>
        <w:t xml:space="preserve">Risk = Value × Threat</w:t>
      </w:r>
      <w:r>
        <w:t xml:space="preserve"> </w:t>
      </w:r>
      <w:r>
        <w:t xml:space="preserve">formula implements directly, including the practice of</w:t>
      </w:r>
      <w:r>
        <w:t xml:space="preserve"> </w:t>
      </w:r>
      <w:r>
        <w:t xml:space="preserve">normalizing each input factor to a common 0–1 scale before combination so</w:t>
      </w:r>
      <w:r>
        <w:t xml:space="preserve"> </w:t>
      </w:r>
      <w:r>
        <w:t xml:space="preserve">that no single factor dominates purely due to its units.</w:t>
      </w:r>
    </w:p>
    <w:p>
      <w:pPr>
        <w:pStyle w:val="BodyText"/>
      </w:pPr>
      <w:r>
        <w:t xml:space="preserve">Together, these two sources are why this project’s risk index is</w:t>
      </w:r>
      <w:r>
        <w:t xml:space="preserve"> </w:t>
      </w:r>
      <w:r>
        <w:t xml:space="preserve">structured the way it is, rather than as a simpler additive weighted sum of</w:t>
      </w:r>
      <w:r>
        <w:t xml:space="preserve"> </w:t>
      </w:r>
      <w:r>
        <w:t xml:space="preserve">threats alone (which would flag high-pressure but seagrass-free water as</w:t>
      </w:r>
      <w:r>
        <w:t xml:space="preserve"> </w:t>
      </w:r>
      <w:r>
        <w:t xml:space="preserve">“risky,”</w:t>
      </w:r>
      <w:r>
        <w:t xml:space="preserve"> </w:t>
      </w:r>
      <w:r>
        <w:t xml:space="preserve">which is not a meaningful output for a conservation-planning tool).</w:t>
      </w:r>
    </w:p>
    <w:bookmarkEnd w:id="19"/>
    <w:bookmarkStart w:id="20" w:name="regional-and-institutional-context"/>
    <w:p>
      <w:pPr>
        <w:pStyle w:val="Heading2"/>
      </w:pPr>
      <w:r>
        <w:t xml:space="preserve">2.3 Regional and institutional context</w:t>
      </w:r>
    </w:p>
    <w:p>
      <w:pPr>
        <w:pStyle w:val="FirstParagraph"/>
      </w:pPr>
      <w:r>
        <w:t xml:space="preserve">The UNESCO Man and the Biosphere (MAB) Programme’s designation of the</w:t>
      </w:r>
      <w:r>
        <w:t xml:space="preserve"> </w:t>
      </w:r>
      <w:r>
        <w:t xml:space="preserve">Marawah Marine Biosphere Reserve (2007), alongside its status as a Marine</w:t>
      </w:r>
      <w:r>
        <w:t xml:space="preserve"> </w:t>
      </w:r>
      <w:r>
        <w:t xml:space="preserve">Protected Area since 2001 under the Sheikh Zayed Protected Areas Network,</w:t>
      </w:r>
      <w:r>
        <w:t xml:space="preserve"> </w:t>
      </w:r>
      <w:r>
        <w:t xml:space="preserve">establishes the reserve as the largest MPA in the Arabian Gulf (4,255 km²)</w:t>
      </w:r>
      <w:r>
        <w:t xml:space="preserve"> </w:t>
      </w:r>
      <w:r>
        <w:t xml:space="preserve">and the institutional context within which this project’s study area sits.</w:t>
      </w:r>
      <w:r>
        <w:t xml:space="preserve"> </w:t>
      </w:r>
      <w:r>
        <w:t xml:space="preserve">This designation is also why the project treats habitat inside this</w:t>
      </w:r>
      <w:r>
        <w:t xml:space="preserve"> </w:t>
      </w:r>
      <w:r>
        <w:t xml:space="preserve">reserve, and particularly inside the Bu Tinah no-take core, as carrying</w:t>
      </w:r>
      <w:r>
        <w:t xml:space="preserve"> </w:t>
      </w:r>
      <w:r>
        <w:t xml:space="preserve">elevated conservation weight in its threat model’s</w:t>
      </w:r>
      <w:r>
        <w:t xml:space="preserve"> </w:t>
      </w:r>
      <w:r>
        <w:t xml:space="preserve">“dugong use”</w:t>
      </w:r>
      <w:r>
        <w:t xml:space="preserve"> </w:t>
      </w:r>
      <w:r>
        <w:t xml:space="preserve">surface.</w:t>
      </w:r>
    </w:p>
    <w:bookmarkEnd w:id="20"/>
    <w:bookmarkStart w:id="21" w:name="gap-this-project-addresses"/>
    <w:p>
      <w:pPr>
        <w:pStyle w:val="Heading2"/>
      </w:pPr>
      <w:r>
        <w:t xml:space="preserve">2.4 Gap this project addresses</w:t>
      </w:r>
    </w:p>
    <w:p>
      <w:pPr>
        <w:pStyle w:val="FirstParagraph"/>
      </w:pPr>
      <w:r>
        <w:t xml:space="preserve">None of the sources above combine seagrass remote-sensing classification,</w:t>
      </w:r>
      <w:r>
        <w:t xml:space="preserve"> </w:t>
      </w:r>
      <w:r>
        <w:t xml:space="preserve">observed habitat change, and multi-factor threat data into a single, ranked,</w:t>
      </w:r>
      <w:r>
        <w:t xml:space="preserve"> </w:t>
      </w:r>
      <w:r>
        <w:t xml:space="preserve">reproducible risk output specific to dugong habitat for this region. Marsh</w:t>
      </w:r>
      <w:r>
        <w:t xml:space="preserve"> </w:t>
      </w:r>
      <w:r>
        <w:t xml:space="preserve">et al. and the IMMA factsheet describe</w:t>
      </w:r>
      <w:r>
        <w:t xml:space="preserve"> </w:t>
      </w:r>
      <w:r>
        <w:rPr>
          <w:i/>
          <w:iCs/>
        </w:rPr>
        <w:t xml:space="preserve">where dugongs are</w:t>
      </w:r>
      <w:r>
        <w:t xml:space="preserve">; dugongseagrass.org</w:t>
      </w:r>
      <w:r>
        <w:t xml:space="preserve"> </w:t>
      </w:r>
      <w:r>
        <w:t xml:space="preserve">and the EAD survey describe</w:t>
      </w:r>
      <w:r>
        <w:t xml:space="preserve"> </w:t>
      </w:r>
      <w:r>
        <w:rPr>
          <w:i/>
          <w:iCs/>
        </w:rPr>
        <w:t xml:space="preserve">what threatens them</w:t>
      </w:r>
      <w:r>
        <w:t xml:space="preserve">; Halpern et al. and the</w:t>
      </w:r>
      <w:r>
        <w:t xml:space="preserve"> </w:t>
      </w:r>
      <w:r>
        <w:t xml:space="preserve">InVEST HRA model describe</w:t>
      </w:r>
      <w:r>
        <w:t xml:space="preserve"> </w:t>
      </w:r>
      <w:r>
        <w:rPr>
          <w:i/>
          <w:iCs/>
        </w:rPr>
        <w:t xml:space="preserve">how to combine exposure and threat in general</w:t>
      </w:r>
      <w:r>
        <w:t xml:space="preserve">.</w:t>
      </w:r>
      <w:r>
        <w:t xml:space="preserve"> </w:t>
      </w:r>
      <w:r>
        <w:t xml:space="preserve">This project’s contribution is applying that general framework, with</w:t>
      </w:r>
      <w:r>
        <w:t xml:space="preserve"> </w:t>
      </w:r>
      <w:r>
        <w:t xml:space="preserve">region-specific data and weights justified against these regional sources,</w:t>
      </w:r>
      <w:r>
        <w:t xml:space="preserve"> </w:t>
      </w:r>
      <w:r>
        <w:t xml:space="preserve">to produce a specific, actionable, and auditable output for the Marawah /</w:t>
      </w:r>
      <w:r>
        <w:t xml:space="preserve"> </w:t>
      </w:r>
      <w:r>
        <w:t xml:space="preserve">Bu Tinah region — see</w:t>
      </w:r>
      <w:r>
        <w:t xml:space="preserve"> </w:t>
      </w:r>
      <w:r>
        <w:rPr>
          <w:rStyle w:val="VerbatimChar"/>
        </w:rPr>
        <w:t xml:space="preserve">C_risk_gis/RISK_METHODOLOGY.md</w:t>
      </w:r>
      <w:r>
        <w:t xml:space="preserve"> </w:t>
      </w:r>
      <w:r>
        <w:t xml:space="preserve">for the full applied</w:t>
      </w:r>
      <w:r>
        <w:t xml:space="preserve"> </w:t>
      </w:r>
      <w:r>
        <w:t xml:space="preserve">model.</w:t>
      </w:r>
    </w:p>
    <w:bookmarkEnd w:id="21"/>
    <w:bookmarkEnd w:id="22"/>
    <w:bookmarkStart w:id="46" w:name="methodology"/>
    <w:p>
      <w:pPr>
        <w:pStyle w:val="Heading1"/>
      </w:pPr>
      <w:r>
        <w:t xml:space="preserve">3. Methodology</w:t>
      </w:r>
    </w:p>
    <w:p>
      <w:pPr>
        <w:pStyle w:val="FirstParagraph"/>
      </w:pPr>
      <w:r>
        <w:t xml:space="preserve">The full, executable methodology lives in this project’s codebase and is</w:t>
      </w:r>
      <w:r>
        <w:t xml:space="preserve"> </w:t>
      </w:r>
      <w:r>
        <w:t xml:space="preserve">summarised here; every number in this section is drawn directly from</w:t>
      </w:r>
      <w:r>
        <w:t xml:space="preserve"> </w:t>
      </w:r>
      <w:r>
        <w:rPr>
          <w:rStyle w:val="VerbatimChar"/>
        </w:rPr>
        <w:t xml:space="preserve">M2_classification/Seagrass_Dugong_Mapping.ipynb</w:t>
      </w:r>
      <w:r>
        <w:t xml:space="preserve"> </w:t>
      </w:r>
      <w:r>
        <w:t xml:space="preserve">(classification) and</w:t>
      </w:r>
      <w:r>
        <w:t xml:space="preserve"> </w:t>
      </w:r>
      <w:r>
        <w:rPr>
          <w:rStyle w:val="VerbatimChar"/>
        </w:rPr>
        <w:t xml:space="preserve">C_risk_gis/Dugong_Habitat_Risk.ipynb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RISK_METHODOLOGY.md</w:t>
      </w:r>
      <w:r>
        <w:t xml:space="preserve"> </w:t>
      </w:r>
      <w:r>
        <w:t xml:space="preserve">(risk model),</w:t>
      </w:r>
      <w:r>
        <w:t xml:space="preserve"> </w:t>
      </w:r>
      <w:r>
        <w:t xml:space="preserve">both of which have been run against live data and verified.</w:t>
      </w:r>
    </w:p>
    <w:p>
      <w:pPr>
        <w:pStyle w:val="CaptionedFigure"/>
      </w:pPr>
      <w:r>
        <w:drawing>
          <wp:inline>
            <wp:extent cx="5334000" cy="6664071"/>
            <wp:effectExtent b="0" l="0" r="0" t="0"/>
            <wp:docPr descr="The five-track pipeline: each track (A–E) hands its output to the next, from data acquisition through machine learning, risk modelling, the dashboard, and this report." title="" id="24" name="Picture"/>
            <a:graphic>
              <a:graphicData uri="http://schemas.openxmlformats.org/drawingml/2006/picture">
                <pic:pic>
                  <pic:nvPicPr>
                    <pic:cNvPr descr="../diagrams/2_five_track_pipelin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4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five-track pipeline: each track (A–E) hands its output to the next, from data acquisition through machine learning, risk modelling, the dashboard, and this report.</w:t>
      </w:r>
    </w:p>
    <w:bookmarkStart w:id="29" w:name="study-area-and-data"/>
    <w:p>
      <w:pPr>
        <w:pStyle w:val="Heading2"/>
      </w:pPr>
      <w:r>
        <w:t xml:space="preserve">3.1 Study area and data</w:t>
      </w:r>
    </w:p>
    <w:p>
      <w:pPr>
        <w:pStyle w:val="FirstParagraph"/>
      </w:pPr>
      <w:r>
        <w:t xml:space="preserve">The study area is a 774.6 km² polygon covering the Marawah / Bu Tinah</w:t>
      </w:r>
      <w:r>
        <w:t xml:space="preserve"> </w:t>
      </w:r>
      <w:r>
        <w:t xml:space="preserve">region of the Arabian Gulf, Abu Dhabi (lon 52.98–53.32, lat 24.19–24.48),</w:t>
      </w:r>
      <w:r>
        <w:t xml:space="preserve"> </w:t>
      </w:r>
      <w:r>
        <w:t xml:space="preserve">falling entirely inside the Marawah Marine Biosphere Reserve.</w:t>
      </w:r>
    </w:p>
    <w:p>
      <w:pPr>
        <w:pStyle w:val="BodyText"/>
      </w:pPr>
      <w:r>
        <w:rPr>
          <w:b/>
          <w:bCs/>
        </w:rPr>
        <w:t xml:space="preserve">Satellite imagery:</w:t>
      </w:r>
      <w:r>
        <w:t xml:space="preserve"> </w:t>
      </w:r>
      <w:r>
        <w:t xml:space="preserve">Sentinel-2 Surface Reflectance (Level-2A,</w:t>
      </w:r>
      <w:r>
        <w:t xml:space="preserve"> </w:t>
      </w:r>
      <w:r>
        <w:rPr>
          <w:rStyle w:val="VerbatimChar"/>
        </w:rPr>
        <w:t xml:space="preserve">COPERNICUS/S2_SR_HARMONIZED</w:t>
      </w:r>
      <w:r>
        <w:t xml:space="preserve">), accessed via Google Earth Engine, cloud</w:t>
      </w:r>
      <w:r>
        <w:t xml:space="preserve"> </w:t>
      </w:r>
      <w:r>
        <w:t xml:space="preserve">masked using the QA60 band (cloud and cirrus bits), median-composited per</w:t>
      </w:r>
      <w:r>
        <w:t xml:space="preserve"> </w:t>
      </w:r>
      <w:r>
        <w:t xml:space="preserve">year. For 2024, 222 individual Sentinel-2 scenes contributed to the</w:t>
      </w:r>
      <w:r>
        <w:t xml:space="preserve"> </w:t>
      </w:r>
      <w:r>
        <w:t xml:space="preserve">cloud-free composite. Two annual composites are built for comparison: 2019</w:t>
      </w:r>
      <w:r>
        <w:t xml:space="preserve"> </w:t>
      </w:r>
      <w:r>
        <w:t xml:space="preserve">(past) and 2024 (current).</w:t>
      </w:r>
    </w:p>
    <w:p>
      <w:pPr>
        <w:pStyle w:val="BodyText"/>
      </w:pPr>
      <w:r>
        <w:rPr>
          <w:b/>
          <w:bCs/>
        </w:rPr>
        <w:t xml:space="preserve">Thermal data:</w:t>
      </w:r>
      <w:r>
        <w:t xml:space="preserve"> </w:t>
      </w:r>
      <w:r>
        <w:t xml:space="preserve">Landsat 8/9 Collection 2 surface temperature (</w:t>
      </w:r>
      <w:r>
        <w:rPr>
          <w:rStyle w:val="VerbatimChar"/>
        </w:rPr>
        <w:t xml:space="preserve">ST_B10</w:t>
      </w:r>
      <w:r>
        <w:t xml:space="preserve">),</w:t>
      </w:r>
      <w:r>
        <w:t xml:space="preserve"> </w:t>
      </w:r>
      <w:r>
        <w:t xml:space="preserve">summer months only (June–September, the annual thermal maximum), converted</w:t>
      </w:r>
      <w:r>
        <w:t xml:space="preserve"> </w:t>
      </w:r>
      <w:r>
        <w:t xml:space="preserve">to Celsius and masked to water pixels only (using the Sentinel-2 composite’s</w:t>
      </w:r>
      <w:r>
        <w:t xml:space="preserve"> </w:t>
      </w:r>
      <w:r>
        <w:t xml:space="preserve">MNDWI band) so that hot dry land cannot skew the thermal-stress signal.</w:t>
      </w:r>
    </w:p>
    <w:p>
      <w:pPr>
        <w:pStyle w:val="BodyText"/>
      </w:pPr>
      <w:r>
        <w:rPr>
          <w:b/>
          <w:bCs/>
        </w:rPr>
        <w:t xml:space="preserve">Training and reference data:</w:t>
      </w:r>
      <w:r>
        <w:t xml:space="preserve"> </w:t>
      </w:r>
      <w:r>
        <w:t xml:space="preserve">vector habitat polygons from the</w:t>
      </w:r>
      <w:r>
        <w:t xml:space="preserve"> </w:t>
      </w:r>
      <w:r>
        <w:t xml:space="preserve">Environment Agency – Abu Dhabi (EAD), clipped to the study area:</w:t>
      </w:r>
      <w:r>
        <w:t xml:space="preserve"> </w:t>
      </w:r>
      <w:r>
        <w:t xml:space="preserve">- 118 seagrass-bed polygons and 171 unconsolidated-bottom (non-seagrass)</w:t>
      </w:r>
      <w:r>
        <w:t xml:space="preserve"> </w:t>
      </w:r>
      <w:r>
        <w:t xml:space="preserve">polygons, used as positive/negative training data.</w:t>
      </w:r>
      <w:r>
        <w:t xml:space="preserve"> </w:t>
      </w:r>
      <w:r>
        <w:t xml:space="preserve">- A further 118-polygon EAD seagrass layer, kept entirely separate from</w:t>
      </w:r>
      <w:r>
        <w:t xml:space="preserve"> </w:t>
      </w:r>
      <w:r>
        <w:t xml:space="preserve">training, used as an independent reference/validation layer.</w:t>
      </w:r>
      <w:r>
        <w:t xml:space="preserve"> </w:t>
      </w:r>
      <w:r>
        <w:t xml:space="preserve">- A region-wide EAD seagrass layer (1,954 polygons, ~2,922 km²) used for</w:t>
      </w:r>
      <w:r>
        <w:t xml:space="preserve"> </w:t>
      </w:r>
      <w:r>
        <w:t xml:space="preserve">broader context, not for training or accuracy assessment.</w:t>
      </w:r>
    </w:p>
    <w:p>
      <w:pPr>
        <w:pStyle w:val="BodyText"/>
      </w:pPr>
      <w:r>
        <w:t xml:space="preserve">All vector data uses WGS84/CRS84 coordinates. The binary class scheme</w:t>
      </w:r>
      <w:r>
        <w:t xml:space="preserve"> </w:t>
      </w:r>
      <w:r>
        <w:t xml:space="preserve">(</w:t>
      </w:r>
      <w:r>
        <w:rPr>
          <w:rStyle w:val="VerbatimChar"/>
        </w:rPr>
        <w:t xml:space="preserve">1 = seagrass</w:t>
      </w:r>
      <w:r>
        <w:t xml:space="preserve">,</w:t>
      </w:r>
      <w:r>
        <w:t xml:space="preserve"> </w:t>
      </w:r>
      <w:r>
        <w:rPr>
          <w:rStyle w:val="VerbatimChar"/>
        </w:rPr>
        <w:t xml:space="preserve">0 = non-seagrass</w:t>
      </w:r>
      <w:r>
        <w:t xml:space="preserve">) was locked to match this training</w:t>
      </w:r>
      <w:r>
        <w:t xml:space="preserve"> </w:t>
      </w:r>
      <w:r>
        <w:t xml:space="preserve">data’s own structure, replacing an earlier four-class design.</w:t>
      </w:r>
    </w:p>
    <w:p>
      <w:pPr>
        <w:pStyle w:val="CaptionedFigure"/>
      </w:pPr>
      <w:r>
        <w:drawing>
          <wp:inline>
            <wp:extent cx="5334000" cy="5009130"/>
            <wp:effectExtent b="0" l="0" r="0" t="0"/>
            <wp:docPr descr="Official EAD seagrass reference beds (118 polygons) within the 774.6 km² study area — the ground truth the classifier is trained and validated against." title="" id="27" name="Picture"/>
            <a:graphic>
              <a:graphicData uri="http://schemas.openxmlformats.org/drawingml/2006/picture">
                <pic:pic>
                  <pic:nvPicPr>
                    <pic:cNvPr descr="../D_dashboard/figures/B_ead_seagrass_exten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Official EAD seagrass reference beds (118 polygons) within the 774.6 km² study area — the ground truth the classifier is trained and validated against.</w:t>
      </w:r>
    </w:p>
    <w:bookmarkEnd w:id="29"/>
    <w:bookmarkStart w:id="36" w:name="seagrass-classification-track-b"/>
    <w:p>
      <w:pPr>
        <w:pStyle w:val="Heading2"/>
      </w:pPr>
      <w:r>
        <w:t xml:space="preserve">3.2 Seagrass classification (Track B)</w:t>
      </w:r>
    </w:p>
    <w:p>
      <w:pPr>
        <w:pStyle w:val="FirstParagraph"/>
      </w:pPr>
      <w:r>
        <w:rPr>
          <w:b/>
          <w:bCs/>
        </w:rPr>
        <w:t xml:space="preserve">Feature stack:</w:t>
      </w:r>
      <w:r>
        <w:t xml:space="preserve"> </w:t>
      </w:r>
      <w:r>
        <w:t xml:space="preserve">each annual composite is reduced to 14 predictor bands —</w:t>
      </w:r>
      <w:r>
        <w:t xml:space="preserve"> </w:t>
      </w:r>
      <w:r>
        <w:t xml:space="preserve">the raw Sentinel-2 bands B2, B3, B4, B5, B6, B7, B8, B8A, B11, B12, plus four</w:t>
      </w:r>
      <w:r>
        <w:t xml:space="preserve"> </w:t>
      </w:r>
      <w:r>
        <w:t xml:space="preserve">derived spectral indices computed from them: NDVI (vegetation), NDWI and</w:t>
      </w:r>
      <w:r>
        <w:t xml:space="preserve"> </w:t>
      </w:r>
      <w:r>
        <w:t xml:space="preserve">MNDWI (water, two formulations), and BSI (bare-soil index).</w:t>
      </w:r>
    </w:p>
    <w:p>
      <w:pPr>
        <w:pStyle w:val="BodyText"/>
      </w:pPr>
      <w:r>
        <w:rPr>
          <w:b/>
          <w:bCs/>
        </w:rPr>
        <w:t xml:space="preserve">Training samples:</w:t>
      </w:r>
      <w:r>
        <w:t xml:space="preserve"> </w:t>
      </w:r>
      <w:r>
        <w:t xml:space="preserve">stratified random points are drawn from inside the</w:t>
      </w:r>
      <w:r>
        <w:t xml:space="preserve"> </w:t>
      </w:r>
      <w:r>
        <w:t xml:space="preserve">training polygons — not one sample per polygon, since polygon sizes vary by</w:t>
      </w:r>
      <w:r>
        <w:t xml:space="preserve"> </w:t>
      </w:r>
      <w:r>
        <w:t xml:space="preserve">orders of magnitude (up to ~61 km²) — and each point’s 14 predictor-band</w:t>
      </w:r>
      <w:r>
        <w:t xml:space="preserve"> </w:t>
      </w:r>
      <w:r>
        <w:t xml:space="preserve">values are extracted from the composite at 10 m resolution.</w:t>
      </w:r>
    </w:p>
    <w:p>
      <w:pPr>
        <w:pStyle w:val="BodyText"/>
      </w:pPr>
      <w:r>
        <w:rPr>
          <w:b/>
          <w:bCs/>
        </w:rPr>
        <w:t xml:space="preserve">Model:</w:t>
      </w:r>
      <w:r>
        <w:t xml:space="preserve"> </w:t>
      </w:r>
      <w:r>
        <w:t xml:space="preserve">a Random Forest classifier (</w:t>
      </w:r>
      <w:r>
        <w:rPr>
          <w:rStyle w:val="VerbatimChar"/>
        </w:rPr>
        <w:t xml:space="preserve">ee.Classifier.smileRandomForest</w:t>
      </w:r>
      <w:r>
        <w:t xml:space="preserve">,</w:t>
      </w:r>
      <w:r>
        <w:t xml:space="preserve"> </w:t>
      </w:r>
      <w:r>
        <w:t xml:space="preserve">100 trees, fixed seed for reproducibility), trained on an 80/20 train/test</w:t>
      </w:r>
      <w:r>
        <w:t xml:space="preserve"> </w:t>
      </w:r>
      <w:r>
        <w:t xml:space="preserve">split. Two versions were built and compared: the original model trained on</w:t>
      </w:r>
      <w:r>
        <w:t xml:space="preserve"> </w:t>
      </w:r>
      <w:r>
        <w:t xml:space="preserve">the natural (imbalanced) class distribution, and a class-balanced version</w:t>
      </w:r>
      <w:r>
        <w:t xml:space="preserve"> </w:t>
      </w:r>
      <w:r>
        <w:t xml:space="preserve">trained on an equal number of seagrass and non-seagrass samples per class.</w:t>
      </w:r>
      <w:r>
        <w:t xml:space="preserve"> </w:t>
      </w:r>
      <w:r>
        <w:t xml:space="preserve">The balanced model outperformed the original on every accuracy metric</w:t>
      </w:r>
      <w:r>
        <w:t xml:space="preserve"> </w:t>
      </w:r>
      <w:r>
        <w:t xml:space="preserve">(Section 4) and is the model used for all downstream risk modelling.</w:t>
      </w:r>
    </w:p>
    <w:p>
      <w:pPr>
        <w:pStyle w:val="BodyText"/>
      </w:pPr>
      <w:r>
        <w:rPr>
          <w:b/>
          <w:bCs/>
        </w:rPr>
        <w:t xml:space="preserve">Change detection:</w:t>
      </w:r>
      <w:r>
        <w:t xml:space="preserve"> </w:t>
      </w:r>
      <w:r>
        <w:t xml:space="preserve">the same trained classifier is applied to both the</w:t>
      </w:r>
      <w:r>
        <w:t xml:space="preserve"> </w:t>
      </w:r>
      <w:r>
        <w:t xml:space="preserve">2019 and 2024 feature stacks (not retrained separately per period, so that</w:t>
      </w:r>
      <w:r>
        <w:t xml:space="preserve"> </w:t>
      </w:r>
      <w:r>
        <w:t xml:space="preserve">any difference in output reflects real change on the ground rather than</w:t>
      </w:r>
      <w:r>
        <w:t xml:space="preserve"> </w:t>
      </w:r>
      <w:r>
        <w:t xml:space="preserve">model drift), and the two classified rasters are differenced into four</w:t>
      </w:r>
      <w:r>
        <w:t xml:space="preserve"> </w:t>
      </w:r>
      <w:r>
        <w:t xml:space="preserve">categories: stable non-seagrass, stable seagrass, gain, and loss.</w:t>
      </w:r>
    </w:p>
    <w:p>
      <w:pPr>
        <w:pStyle w:val="CaptionedFigure"/>
      </w:pPr>
      <w:r>
        <w:drawing>
          <wp:inline>
            <wp:extent cx="5334000" cy="8434351"/>
            <wp:effectExtent b="0" l="0" r="0" t="0"/>
            <wp:docPr descr="The Track B seagrass-classification workflow, from Sentinel-2 imagery through the 14-band feature stack and Random Forest classifier to a validated seagrass map." title="" id="31" name="Picture"/>
            <a:graphic>
              <a:graphicData uri="http://schemas.openxmlformats.org/drawingml/2006/picture">
                <pic:pic>
                  <pic:nvPicPr>
                    <pic:cNvPr descr="../diagrams/3_classification_workflow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34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Track B seagrass-classification workflow, from Sentinel-2 imagery through the 14-band feature stack and Random Forest classifier to a validated seagrass map.</w:t>
      </w:r>
    </w:p>
    <w:p>
      <w:pPr>
        <w:pStyle w:val="CaptionedFigure"/>
      </w:pPr>
      <w:r>
        <w:drawing>
          <wp:inline>
            <wp:extent cx="5334000" cy="2136133"/>
            <wp:effectExtent b="0" l="0" r="0" t="0"/>
            <wp:docPr descr="Change detection: the same trained classifier is applied to the 2019 and 2024 composites and the two maps are differenced into four change classes — stable non-seagrass, stable seagrass, gain, and loss." title="" id="34" name="Picture"/>
            <a:graphic>
              <a:graphicData uri="http://schemas.openxmlformats.org/drawingml/2006/picture">
                <pic:pic>
                  <pic:nvPicPr>
                    <pic:cNvPr descr="../diagrams/4_change_detec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6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Change detection: the same trained classifier is applied to the 2019 and 2024 composites and the two maps are differenced into four change classes — stable non-seagrass, stable seagrass, gain, and loss.</w:t>
      </w:r>
    </w:p>
    <w:bookmarkEnd w:id="36"/>
    <w:bookmarkStart w:id="43" w:name="habitat-risk-model-track-c"/>
    <w:p>
      <w:pPr>
        <w:pStyle w:val="Heading2"/>
      </w:pPr>
      <w:r>
        <w:t xml:space="preserve">3.3 Habitat-risk model (Track C)</w:t>
      </w:r>
    </w:p>
    <w:p>
      <w:pPr>
        <w:pStyle w:val="FirstParagraph"/>
      </w:pPr>
      <w:r>
        <w:t xml:space="preserve">The risk model follows an</w:t>
      </w:r>
      <w:r>
        <w:t xml:space="preserve"> </w:t>
      </w:r>
      <w:r>
        <w:rPr>
          <w:b/>
          <w:bCs/>
        </w:rPr>
        <w:t xml:space="preserve">exposure × consequence</w:t>
      </w:r>
      <w:r>
        <w:t xml:space="preserve"> </w:t>
      </w:r>
      <w:r>
        <w:t xml:space="preserve">structure (justified</w:t>
      </w:r>
      <w:r>
        <w:t xml:space="preserve"> </w:t>
      </w:r>
      <w:r>
        <w:t xml:space="preserve">in Section 2.2):</w:t>
      </w:r>
      <w:r>
        <w:t xml:space="preserve"> </w:t>
      </w:r>
      <w:r>
        <w:rPr>
          <w:rStyle w:val="VerbatimChar"/>
        </w:rPr>
        <w:t xml:space="preserve">Risk = Value × Threat</w:t>
      </w:r>
      <w:r>
        <w:t xml:space="preserve">, so that a location scores high</w:t>
      </w:r>
      <w:r>
        <w:t xml:space="preserve"> </w:t>
      </w:r>
      <w:r>
        <w:t xml:space="preserve">only when valuable habitat and real pressure coincide.</w:t>
      </w:r>
    </w:p>
    <w:p>
      <w:pPr>
        <w:pStyle w:val="BodyText"/>
      </w:pPr>
      <w:r>
        <w:rPr>
          <w:b/>
          <w:bCs/>
        </w:rPr>
        <w:t xml:space="preserve">Value (exposure) layer</w:t>
      </w:r>
      <w:r>
        <w:t xml:space="preserve"> </w:t>
      </w:r>
      <w:r>
        <w:t xml:space="preserve">— what is at stake:</w:t>
      </w:r>
    </w:p>
    <w:p>
      <w:pPr>
        <w:pStyle w:val="SourceCode"/>
      </w:pPr>
      <w:r>
        <w:rPr>
          <w:rStyle w:val="VerbatimChar"/>
        </w:rPr>
        <w:t xml:space="preserve">Value = SeagrassPresence × (0.6 + 0.4 × DugongUse)</w:t>
      </w:r>
    </w:p>
    <w:p>
      <w:pPr>
        <w:pStyle w:val="FirstParagraph"/>
      </w:pPr>
      <w:r>
        <w:rPr>
          <w:rStyle w:val="VerbatimChar"/>
        </w:rPr>
        <w:t xml:space="preserve">SeagrassPresence</w:t>
      </w:r>
      <w:r>
        <w:t xml:space="preserve"> </w:t>
      </w:r>
      <w:r>
        <w:t xml:space="preserve">comes directly from the 2024 classification.</w:t>
      </w:r>
      <w:r>
        <w:t xml:space="preserve"> </w:t>
      </w:r>
      <w:r>
        <w:rPr>
          <w:rStyle w:val="VerbatimChar"/>
        </w:rPr>
        <w:t xml:space="preserve">DugongUse</w:t>
      </w:r>
      <w:r>
        <w:t xml:space="preserve"> </w:t>
      </w:r>
      <w:r>
        <w:t xml:space="preserve">is a continuous 0–1 surface built by distance-decay from documented</w:t>
      </w:r>
      <w:r>
        <w:t xml:space="preserve"> </w:t>
      </w:r>
      <w:r>
        <w:t xml:space="preserve">high-density dugong location anchors (Marawah core, Bu Tinah, central</w:t>
      </w:r>
      <w:r>
        <w:t xml:space="preserve"> </w:t>
      </w:r>
      <w:r>
        <w:t xml:space="preserve">foraging grounds), so that seagrass inside a known dugong core is weighted</w:t>
      </w:r>
      <w:r>
        <w:t xml:space="preserve"> </w:t>
      </w:r>
      <w:r>
        <w:t xml:space="preserve">up to ~1.7× more heavily than seagrass at the reserve’s edge — while every</w:t>
      </w:r>
      <w:r>
        <w:t xml:space="preserve"> </w:t>
      </w:r>
      <w:r>
        <w:t xml:space="preserve">seagrass pixel in the reserve still retains some value, since the entire</w:t>
      </w:r>
      <w:r>
        <w:t xml:space="preserve"> </w:t>
      </w:r>
      <w:r>
        <w:t xml:space="preserve">AOI sits inside prime dugong habitat.</w:t>
      </w:r>
    </w:p>
    <w:p>
      <w:pPr>
        <w:pStyle w:val="BodyText"/>
      </w:pPr>
      <w:r>
        <w:rPr>
          <w:b/>
          <w:bCs/>
        </w:rPr>
        <w:t xml:space="preserve">Threat (pressure) layer</w:t>
      </w:r>
      <w:r>
        <w:t xml:space="preserve"> </w:t>
      </w:r>
      <w:r>
        <w:t xml:space="preserve">— what is acting on it — is a weighted sum of</w:t>
      </w:r>
      <w:r>
        <w:t xml:space="preserve"> </w:t>
      </w:r>
      <w:r>
        <w:t xml:space="preserve">five normalized (0–1) factors: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Measured 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seagrass loss (2019→2024)</w:t>
            </w:r>
          </w:p>
        </w:tc>
        <w:tc>
          <w:tcPr/>
          <w:p>
            <w:pPr>
              <w:pStyle w:val="Compact"/>
            </w:pPr>
            <w:r>
              <w:t xml:space="preserve">Smoothed density of</w:t>
            </w:r>
            <w:r>
              <w:t xml:space="preserve"> </w:t>
            </w:r>
            <w:r>
              <w:t xml:space="preserve">“loss”</w:t>
            </w:r>
            <w:r>
              <w:t xml:space="preserve"> </w:t>
            </w:r>
            <w:r>
              <w:t xml:space="preserve">change pixels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Coastal development / dredging</w:t>
            </w:r>
          </w:p>
        </w:tc>
        <w:tc>
          <w:tcPr/>
          <w:p>
            <w:pPr>
              <w:pStyle w:val="Compact"/>
            </w:pPr>
            <w:r>
              <w:t xml:space="preserve">Distance decay from mapped development points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 stress</w:t>
            </w:r>
          </w:p>
        </w:tc>
        <w:tc>
          <w:tcPr/>
          <w:p>
            <w:pPr>
              <w:pStyle w:val="Compact"/>
            </w:pPr>
            <w:r>
              <w:t xml:space="preserve">Landsat summer surface temperature, water-masked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Desalination / industrial discharge</w:t>
            </w:r>
          </w:p>
        </w:tc>
        <w:tc>
          <w:tcPr/>
          <w:p>
            <w:pPr>
              <w:pStyle w:val="Compact"/>
            </w:pPr>
            <w:r>
              <w:t xml:space="preserve">Distance decay from mapped discharge points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Vessel / navigation pressure</w:t>
            </w:r>
          </w:p>
        </w:tc>
        <w:tc>
          <w:tcPr/>
          <w:p>
            <w:pPr>
              <w:pStyle w:val="Compact"/>
            </w:pPr>
            <w:r>
              <w:t xml:space="preserve">Distance decay from ports, landings, routes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</w:tr>
    </w:tbl>
    <w:p>
      <w:pPr>
        <w:pStyle w:val="BodyText"/>
      </w:pPr>
      <w:r>
        <w:t xml:space="preserve">Distance-decay factors use</w:t>
      </w:r>
      <w:r>
        <w:t xml:space="preserve"> </w:t>
      </w:r>
      <w:r>
        <w:rPr>
          <w:rStyle w:val="VerbatimChar"/>
        </w:rPr>
        <w:t xml:space="preserve">exp(-distance/λ)</w:t>
      </w:r>
      <w:r>
        <w:t xml:space="preserve"> </w:t>
      </w:r>
      <w:r>
        <w:t xml:space="preserve">with factor-specific decay</w:t>
      </w:r>
      <w:r>
        <w:t xml:space="preserve"> </w:t>
      </w:r>
      <w:r>
        <w:t xml:space="preserve">lengths (λ ≈ 3–5 km depending on the factor), so that, for example, regional</w:t>
      </w:r>
      <w:r>
        <w:t xml:space="preserve"> </w:t>
      </w:r>
      <w:r>
        <w:t xml:space="preserve">desalination plants 40–120 km from the study area correctly contribute</w:t>
      </w:r>
      <w:r>
        <w:t xml:space="preserve"> </w:t>
      </w:r>
      <w:r>
        <w:t xml:space="preserve">almost nothing to in-AOI risk, while the nearer Mirfa plant registers on the</w:t>
      </w:r>
      <w:r>
        <w:t xml:space="preserve"> </w:t>
      </w:r>
      <w:r>
        <w:t xml:space="preserve">reserve’s southeast flank. Every weight and decay length, and the reasoning</w:t>
      </w:r>
      <w:r>
        <w:t xml:space="preserve"> </w:t>
      </w:r>
      <w:r>
        <w:t xml:space="preserve">behind each value, is documented in full in</w:t>
      </w:r>
      <w:r>
        <w:t xml:space="preserve"> </w:t>
      </w:r>
      <w:r>
        <w:rPr>
          <w:rStyle w:val="VerbatimChar"/>
        </w:rPr>
        <w:t xml:space="preserve">RISK_METHODOLOGY.md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Threat data sources:</w:t>
      </w:r>
      <w:r>
        <w:t xml:space="preserve"> </w:t>
      </w:r>
      <w:r>
        <w:t xml:space="preserve">built infrastructure and named-location coordinates</w:t>
      </w:r>
      <w:r>
        <w:t xml:space="preserve"> </w:t>
      </w:r>
      <w:r>
        <w:t xml:space="preserve">(e.g. the Mirfa Power &amp; Desalination Plant at 24.121°N, 53.447°E) are real;</w:t>
      </w:r>
      <w:r>
        <w:t xml:space="preserve"> </w:t>
      </w:r>
      <w:r>
        <w:t xml:space="preserve">reserve boundaries, the dugong-density surface, and navigation routes are</w:t>
      </w:r>
      <w:r>
        <w:t xml:space="preserve"> </w:t>
      </w:r>
      <w:r>
        <w:t xml:space="preserve">explicitly flagged as schematic approximations pending official EAD GIS</w:t>
      </w:r>
      <w:r>
        <w:t xml:space="preserve"> </w:t>
      </w:r>
      <w:r>
        <w:t xml:space="preserve">layers (</w:t>
      </w:r>
      <w:r>
        <w:rPr>
          <w:rStyle w:val="VerbatimChar"/>
        </w:rPr>
        <w:t xml:space="preserve">C_risk_gis/threat_data/SOURCES.md</w:t>
      </w:r>
      <w:r>
        <w:t xml:space="preserve"> </w:t>
      </w:r>
      <w:r>
        <w:t xml:space="preserve">documents the exact basis for</w:t>
      </w:r>
      <w:r>
        <w:t xml:space="preserve"> </w:t>
      </w:r>
      <w:r>
        <w:t xml:space="preserve">every feature).</w:t>
      </w:r>
    </w:p>
    <w:p>
      <w:pPr>
        <w:pStyle w:val="BodyText"/>
      </w:pPr>
      <w:r>
        <w:rPr>
          <w:b/>
          <w:bCs/>
        </w:rPr>
        <w:t xml:space="preserve">Combining and classifying:</w:t>
      </w:r>
      <w:r>
        <w:t xml:space="preserve"> </w:t>
      </w:r>
      <w:r>
        <w:rPr>
          <w:rStyle w:val="VerbatimChar"/>
        </w:rPr>
        <w:t xml:space="preserve">RiskRaw = Value × Threat</w:t>
      </w:r>
      <w:r>
        <w:t xml:space="preserve"> </w:t>
      </w:r>
      <w:r>
        <w:t xml:space="preserve">is rescaled to</w:t>
      </w:r>
      <w:r>
        <w:t xml:space="preserve"> </w:t>
      </w:r>
      <w:r>
        <w:t xml:space="preserve">0–1 across the study area, then binned into five ranked classes (Very</w:t>
      </w:r>
      <w:r>
        <w:t xml:space="preserve"> </w:t>
      </w:r>
      <w:r>
        <w:t xml:space="preserve">Low → Very High) using quantile breaks computed over seagrass pixels only,</w:t>
      </w:r>
      <w:r>
        <w:t xml:space="preserve"> </w:t>
      </w:r>
      <w:r>
        <w:t xml:space="preserve">since non-seagrass pixels have nothing at stake by construction.</w:t>
      </w:r>
    </w:p>
    <w:p>
      <w:pPr>
        <w:pStyle w:val="CaptionedFigure"/>
      </w:pPr>
      <w:r>
        <w:drawing>
          <wp:inline>
            <wp:extent cx="5334000" cy="1871010"/>
            <wp:effectExtent b="0" l="0" r="0" t="0"/>
            <wp:docPr descr="The Track C habitat-risk model: a habitat-value layer multiplied by a weighted threat layer, rescaled, classified, and ranked into hotspots." title="" id="38" name="Picture"/>
            <a:graphic>
              <a:graphicData uri="http://schemas.openxmlformats.org/drawingml/2006/picture">
                <pic:pic>
                  <pic:nvPicPr>
                    <pic:cNvPr descr="../diagrams/5_risk_mode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1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Track C habitat-risk model: a habitat-value layer multiplied by a weighted threat layer, rescaled, classified, and ranked into hotspots.</w:t>
      </w:r>
    </w:p>
    <w:p>
      <w:pPr>
        <w:pStyle w:val="CaptionedFigure"/>
      </w:pPr>
      <w:r>
        <w:drawing>
          <wp:inline>
            <wp:extent cx="5334000" cy="2468323"/>
            <wp:effectExtent b="0" l="0" r="0" t="0"/>
            <wp:docPr descr="The weighted threat model: five normalised factors combined in documented proportions into a single threat-pressure surface." title="" id="41" name="Picture"/>
            <a:graphic>
              <a:graphicData uri="http://schemas.openxmlformats.org/drawingml/2006/picture">
                <pic:pic>
                  <pic:nvPicPr>
                    <pic:cNvPr descr="../diagrams/6_threat_model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8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weighted threat model: five normalised factors combined in documented proportions into a single threat-pressure surface.</w:t>
      </w:r>
    </w:p>
    <w:bookmarkEnd w:id="43"/>
    <w:bookmarkStart w:id="44" w:name="validation-approach"/>
    <w:p>
      <w:pPr>
        <w:pStyle w:val="Heading2"/>
      </w:pPr>
      <w:r>
        <w:t xml:space="preserve">3.4 Validation approach</w:t>
      </w:r>
    </w:p>
    <w:p>
      <w:pPr>
        <w:pStyle w:val="FirstParagraph"/>
      </w:pPr>
      <w:r>
        <w:t xml:space="preserve">Three checks, beyond standard classifier accuracy metrics, were run</w:t>
      </w:r>
      <w:r>
        <w:t xml:space="preserve"> </w:t>
      </w:r>
      <w:r>
        <w:t xml:space="preserve">specifically to test whether the risk model’s outputs are trustworthy</w:t>
      </w:r>
      <w:r>
        <w:t xml:space="preserve"> </w:t>
      </w:r>
      <w:r>
        <w:t xml:space="preserve">rather than an artefact of its parameter choices (Section 4.3–4.4 reports</w:t>
      </w:r>
      <w:r>
        <w:t xml:space="preserve"> </w:t>
      </w:r>
      <w:r>
        <w:t xml:space="preserve">the results):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Face validity</w:t>
      </w:r>
      <w:r>
        <w:t xml:space="preserve"> </w:t>
      </w:r>
      <w:r>
        <w:t xml:space="preserve">— does mean risk fall with distance from a known real</w:t>
      </w:r>
      <w:r>
        <w:t xml:space="preserve"> </w:t>
      </w:r>
      <w:r>
        <w:t xml:space="preserve">discharge point, as the model’s own construction should produce?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Zonal comparison</w:t>
      </w:r>
      <w:r>
        <w:t xml:space="preserve"> </w:t>
      </w:r>
      <w:r>
        <w:t xml:space="preserve">— is mean risk inside the documented dugong core</w:t>
      </w:r>
      <w:r>
        <w:t xml:space="preserve"> </w:t>
      </w:r>
      <w:r>
        <w:t xml:space="preserve">meaningfully higher than the reserve-wide average?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Weight sensitivity</w:t>
      </w:r>
      <w:r>
        <w:t xml:space="preserve"> </w:t>
      </w:r>
      <w:r>
        <w:t xml:space="preserve">— does perturbing each of the five threat weights</w:t>
      </w:r>
      <w:r>
        <w:t xml:space="preserve"> </w:t>
      </w:r>
      <w:r>
        <w:t xml:space="preserve">by ±10% materially change which areas are flagged high-risk, or are the</w:t>
      </w:r>
      <w:r>
        <w:t xml:space="preserve"> </w:t>
      </w:r>
      <w:r>
        <w:t xml:space="preserve">resulting hotspots robust to the exact weighting chosen?</w:t>
      </w:r>
    </w:p>
    <w:bookmarkEnd w:id="44"/>
    <w:bookmarkStart w:id="45" w:name="implementation-and-reproducibility"/>
    <w:p>
      <w:pPr>
        <w:pStyle w:val="Heading2"/>
      </w:pPr>
      <w:r>
        <w:t xml:space="preserve">3.5 Implementation and reproducibility</w:t>
      </w:r>
    </w:p>
    <w:p>
      <w:pPr>
        <w:pStyle w:val="FirstParagraph"/>
      </w:pPr>
      <w:r>
        <w:t xml:space="preserve">The entire pipeline runs in Google Earth Engine via Python (the</w:t>
      </w:r>
      <w:r>
        <w:t xml:space="preserve"> </w:t>
      </w:r>
      <w:r>
        <w:rPr>
          <w:rStyle w:val="VerbatimChar"/>
        </w:rPr>
        <w:t xml:space="preserve">earthengine-api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geemap</w:t>
      </w:r>
      <w:r>
        <w:t xml:space="preserve"> </w:t>
      </w:r>
      <w:r>
        <w:t xml:space="preserve">libraries), authenticated per-user against a personal GEE</w:t>
      </w:r>
      <w:r>
        <w:t xml:space="preserve"> </w:t>
      </w:r>
      <w:r>
        <w:t xml:space="preserve">project. All code is version-controlled and available in this repository;</w:t>
      </w:r>
      <w:r>
        <w:t xml:space="preserve"> </w:t>
      </w:r>
      <w:r>
        <w:rPr>
          <w:rStyle w:val="VerbatimChar"/>
        </w:rPr>
        <w:t xml:space="preserve">M2_classification/Seagrass_Dugong_Mapping.ipynb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C_risk_gis/Dugong_Habitat_Risk.ipynb</w:t>
      </w:r>
      <w:r>
        <w:t xml:space="preserve"> </w:t>
      </w:r>
      <w:r>
        <w:t xml:space="preserve">can be re-run end-to-end by anyone</w:t>
      </w:r>
      <w:r>
        <w:t xml:space="preserve"> </w:t>
      </w:r>
      <w:r>
        <w:t xml:space="preserve">with Earth Engine access, using only the vector data already committed to</w:t>
      </w:r>
      <w:r>
        <w:t xml:space="preserve"> </w:t>
      </w:r>
      <w:r>
        <w:t xml:space="preserve">this repository plus Earth Engine’s own public Sentinel-2/Landsat archives</w:t>
      </w:r>
      <w:r>
        <w:t xml:space="preserve"> </w:t>
      </w:r>
      <w:r>
        <w:t xml:space="preserve">— no proprietary or purchased data is required anywhere in the pipeline.</w:t>
      </w:r>
    </w:p>
    <w:bookmarkEnd w:id="45"/>
    <w:bookmarkEnd w:id="46"/>
    <w:bookmarkStart w:id="70" w:name="results"/>
    <w:p>
      <w:pPr>
        <w:pStyle w:val="Heading1"/>
      </w:pPr>
      <w:r>
        <w:t xml:space="preserve">4. Results</w:t>
      </w:r>
    </w:p>
    <w:p>
      <w:pPr>
        <w:pStyle w:val="FirstParagraph"/>
      </w:pPr>
      <w:r>
        <w:t xml:space="preserve">All figures referenced below are in</w:t>
      </w:r>
      <w:r>
        <w:t xml:space="preserve"> </w:t>
      </w:r>
      <w:r>
        <w:rPr>
          <w:rStyle w:val="VerbatimChar"/>
        </w:rPr>
        <w:t xml:space="preserve">D_dashboard/figures/</w:t>
      </w:r>
      <w:r>
        <w:t xml:space="preserve"> </w:t>
      </w:r>
      <w:r>
        <w:t xml:space="preserve">and were</w:t>
      </w:r>
      <w:r>
        <w:t xml:space="preserve"> </w:t>
      </w:r>
      <w:r>
        <w:t xml:space="preserve">generated directly from these results, not illustratively.</w:t>
      </w:r>
    </w:p>
    <w:bookmarkStart w:id="56" w:name="seagrass-classification-accuracy"/>
    <w:p>
      <w:pPr>
        <w:pStyle w:val="Heading2"/>
      </w:pPr>
      <w:r>
        <w:t xml:space="preserve">4.1 Seagrass classification accuracy</w:t>
      </w:r>
    </w:p>
    <w:p>
      <w:pPr>
        <w:pStyle w:val="FirstParagraph"/>
      </w:pPr>
      <w:r>
        <w:t xml:space="preserve">Two Random Forest models were trained and compared (see Section 3.2):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Original (imbalanced)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Class-balanced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accuracy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81.15%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85.32%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Producer’s accuracy (non-seagrass)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81.44%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87.60%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Producer’s accuracy (seagrass)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80.85%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82.02%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User’s accuracy (non-seagrass)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81.44%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87.60%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User’s accuracy (seagrass)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80.85%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82.02%</w:t>
            </w:r>
          </w:p>
        </w:tc>
      </w:tr>
    </w:tbl>
    <w:p>
      <w:pPr>
        <w:pStyle w:val="BodyText"/>
      </w:pPr>
      <w:r>
        <w:t xml:space="preserve">Both models fall within the published 73–87% accuracy range reported for</w:t>
      </w:r>
      <w:r>
        <w:t xml:space="preserve"> </w:t>
      </w:r>
      <w:r>
        <w:t xml:space="preserve">comparable satellite-based seagrass classification methods; the</w:t>
      </w:r>
      <w:r>
        <w:t xml:space="preserve"> </w:t>
      </w:r>
      <w:r>
        <w:t xml:space="preserve">class-balanced model is used for all subsequent risk modelling.</w:t>
      </w:r>
    </w:p>
    <w:p>
      <w:pPr>
        <w:pStyle w:val="CaptionedFigure"/>
      </w:pPr>
      <w:r>
        <w:drawing>
          <wp:inline>
            <wp:extent cx="5334000" cy="2816130"/>
            <wp:effectExtent b="0" l="0" r="0" t="0"/>
            <wp:docPr descr="Confusion matrices: original vs. class-balanced Random Forest" title="" id="48" name="Picture"/>
            <a:graphic>
              <a:graphicData uri="http://schemas.openxmlformats.org/drawingml/2006/picture">
                <pic:pic>
                  <pic:nvPicPr>
                    <pic:cNvPr descr="../D_dashboard/figures/B4_confusion_matrice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6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matrices: original vs. class-balanced Random Forest</w:t>
      </w:r>
    </w:p>
    <w:p>
      <w:pPr>
        <w:pStyle w:val="CaptionedFigure"/>
      </w:pPr>
      <w:r>
        <w:drawing>
          <wp:inline>
            <wp:extent cx="5334000" cy="2514321"/>
            <wp:effectExtent b="0" l="0" r="0" t="0"/>
            <wp:docPr descr="Accuracy metrics compared against the published target range" title="" id="51" name="Picture"/>
            <a:graphic>
              <a:graphicData uri="http://schemas.openxmlformats.org/drawingml/2006/picture">
                <pic:pic>
                  <pic:nvPicPr>
                    <pic:cNvPr descr="../D_dashboard/figures/B4_accuracy_comparis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Accuracy metrics compared against the published target range</w:t>
      </w:r>
    </w:p>
    <w:p>
      <w:pPr>
        <w:pStyle w:val="BodyText"/>
      </w:pPr>
      <w:r>
        <w:rPr>
          <w:b/>
          <w:bCs/>
        </w:rPr>
        <w:t xml:space="preserve">Feature importance</w:t>
      </w:r>
      <w:r>
        <w:t xml:space="preserve"> </w:t>
      </w:r>
      <w:r>
        <w:t xml:space="preserve">(balanced model, highest to lowest): B12 (SWIR),</w:t>
      </w:r>
      <w:r>
        <w:t xml:space="preserve"> </w:t>
      </w:r>
      <w:r>
        <w:t xml:space="preserve">NDWI, B4 (red), B2 (blue), BSI, B5 (red edge), MNDWI, B8A (narrow NIR),</w:t>
      </w:r>
      <w:r>
        <w:t xml:space="preserve"> </w:t>
      </w:r>
      <w:r>
        <w:t xml:space="preserve">NDVI, B8 (NIR), B3 (green), B11 (SWIR), B7 (red edge), B6 (red edge). Water-</w:t>
      </w:r>
      <w:r>
        <w:t xml:space="preserve"> </w:t>
      </w:r>
      <w:r>
        <w:t xml:space="preserve">and vegetation-index bands (NDWI, BSI, MNDWI, NDVI) rank among the most</w:t>
      </w:r>
      <w:r>
        <w:t xml:space="preserve"> </w:t>
      </w:r>
      <w:r>
        <w:t xml:space="preserve">important features alongside the raw shortwave-infrared band B12,</w:t>
      </w:r>
      <w:r>
        <w:t xml:space="preserve"> </w:t>
      </w:r>
      <w:r>
        <w:t xml:space="preserve">consistent with seagrass discrimination depending on both spectral water</w:t>
      </w:r>
      <w:r>
        <w:t xml:space="preserve"> </w:t>
      </w:r>
      <w:r>
        <w:t xml:space="preserve">characteristics and vegetation signal.</w:t>
      </w:r>
    </w:p>
    <w:p>
      <w:pPr>
        <w:pStyle w:val="CaptionedFigure"/>
      </w:pPr>
      <w:r>
        <w:drawing>
          <wp:inline>
            <wp:extent cx="5334000" cy="4129133"/>
            <wp:effectExtent b="0" l="0" r="0" t="0"/>
            <wp:docPr descr="Random Forest feature importance" title="" id="54" name="Picture"/>
            <a:graphic>
              <a:graphicData uri="http://schemas.openxmlformats.org/drawingml/2006/picture">
                <pic:pic>
                  <pic:nvPicPr>
                    <pic:cNvPr descr="../D_dashboard/figures/B5_feature_importanc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9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Random Forest feature importance</w:t>
      </w:r>
    </w:p>
    <w:bookmarkEnd w:id="56"/>
    <w:bookmarkStart w:id="63" w:name="habitat-risk-index"/>
    <w:p>
      <w:pPr>
        <w:pStyle w:val="Heading2"/>
      </w:pPr>
      <w:r>
        <w:t xml:space="preserve">4.2 Habitat-risk index</w:t>
      </w:r>
    </w:p>
    <w:p>
      <w:pPr>
        <w:pStyle w:val="FirstParagraph"/>
      </w:pPr>
      <w:r>
        <w:t xml:space="preserve">Applying the risk model (Section 3.3) across the 774.6 km² study area</w:t>
      </w:r>
      <w:r>
        <w:t xml:space="preserve"> </w:t>
      </w:r>
      <w:r>
        <w:t xml:space="preserve">produced: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class breaks</w:t>
      </w:r>
      <w:r>
        <w:t xml:space="preserve"> </w:t>
      </w:r>
      <w:r>
        <w:t xml:space="preserve">(quantile boundaries over seagrass pixels, on a</w:t>
      </w:r>
      <w:r>
        <w:t xml:space="preserve"> </w:t>
      </w:r>
      <w:r>
        <w:t xml:space="preserve">0–1 scale): 0.049 / 0.092 / 0.158 / 0.24, separating the five ranked</w:t>
      </w:r>
      <w:r>
        <w:t xml:space="preserve"> </w:t>
      </w:r>
      <w:r>
        <w:t xml:space="preserve">classes from Very Low to Very High risk.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105 ranked hotspot patches</w:t>
      </w:r>
      <w:r>
        <w:t xml:space="preserve"> </w:t>
      </w:r>
      <w:r>
        <w:t xml:space="preserve">(≥5 ha, top risk class), ranging from</w:t>
      </w:r>
      <w:r>
        <w:t xml:space="preserve"> </w:t>
      </w:r>
      <w:r>
        <w:t xml:space="preserve">18.5 ha to 7,048.9 ha, with mean risk values from 0.293 to 0.659 across</w:t>
      </w:r>
      <w:r>
        <w:t xml:space="preserve"> </w:t>
      </w:r>
      <w:r>
        <w:t xml:space="preserve">the top 15 ranked hotspots. The single largest hotspot (7,048.9 ha,</w:t>
      </w:r>
      <w:r>
        <w:t xml:space="preserve"> </w:t>
      </w:r>
      <w:r>
        <w:t xml:space="preserve">vessel-dominated) reflects one contiguous high-pressure zone rather than</w:t>
      </w:r>
      <w:r>
        <w:t xml:space="preserve"> </w:t>
      </w:r>
      <w:r>
        <w:t xml:space="preserve">a data artefact; smaller, higher-mean-risk hotspots are dominated by</w:t>
      </w:r>
      <w:r>
        <w:t xml:space="preserve"> </w:t>
      </w:r>
      <w:r>
        <w:t xml:space="preserve">development and observed-loss pressure.</w:t>
      </w:r>
    </w:p>
    <w:p>
      <w:pPr>
        <w:pStyle w:val="Compact"/>
        <w:numPr>
          <w:ilvl w:val="0"/>
          <w:numId w:val="1004"/>
        </w:numPr>
      </w:pPr>
      <w:r>
        <w:t xml:space="preserve">Across the top 15 hotspots, the dominant threat factor was vessel</w:t>
      </w:r>
      <w:r>
        <w:t xml:space="preserve"> </w:t>
      </w:r>
      <w:r>
        <w:t xml:space="preserve">pressure (6 of 15), coastal development (4 of 15), observed loss (4 of</w:t>
      </w:r>
      <w:r>
        <w:t xml:space="preserve"> </w:t>
      </w:r>
      <w:r>
        <w:t xml:space="preserve">15), and thermal stress (1 of 15).</w:t>
      </w:r>
    </w:p>
    <w:p>
      <w:pPr>
        <w:pStyle w:val="CaptionedFigure"/>
      </w:pPr>
      <w:r>
        <w:drawing>
          <wp:inline>
            <wp:extent cx="5334000" cy="3253931"/>
            <wp:effectExtent b="0" l="0" r="0" t="0"/>
            <wp:docPr descr="Ranked risk hotspots by area, coloured by dominant threat" title="" id="58" name="Picture"/>
            <a:graphic>
              <a:graphicData uri="http://schemas.openxmlformats.org/drawingml/2006/picture">
                <pic:pic>
                  <pic:nvPicPr>
                    <pic:cNvPr descr="../D_dashboard/figures/C4_hotspot_ranking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3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Ranked risk hotspots by area, coloured by dominant threat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The habitat-risk map across the study area (blue = Very Low → red = Very High), with ranked hotspot markers on the interactive dashboard. The red corridor through the centre is the vessel-dominated navigation channel." title="" id="61" name="Picture"/>
            <a:graphic>
              <a:graphicData uri="http://schemas.openxmlformats.org/drawingml/2006/picture">
                <pic:pic>
                  <pic:nvPicPr>
                    <pic:cNvPr descr="../D_dashboard/risk_map_static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habitat-risk map across the study area (blue = Very Low → red = Very High), with ranked hotspot markers on the interactive dashboard. The red corridor through the centre is the vessel-dominated navigation channel.</w:t>
      </w:r>
    </w:p>
    <w:bookmarkEnd w:id="63"/>
    <w:bookmarkStart w:id="64" w:name="model-validation"/>
    <w:p>
      <w:pPr>
        <w:pStyle w:val="Heading2"/>
      </w:pPr>
      <w:r>
        <w:t xml:space="preserve">4.3 Model validation</w:t>
      </w:r>
    </w:p>
    <w:p>
      <w:pPr>
        <w:pStyle w:val="FirstParagraph"/>
      </w:pPr>
      <w:r>
        <w:rPr>
          <w:b/>
          <w:bCs/>
        </w:rPr>
        <w:t xml:space="preserve">Face validity:</w:t>
      </w:r>
      <w:r>
        <w:t xml:space="preserve"> </w:t>
      </w:r>
      <w:r>
        <w:t xml:space="preserve">mean risk fell from approximately 0.26 near the nearest</w:t>
      </w:r>
      <w:r>
        <w:t xml:space="preserve"> </w:t>
      </w:r>
      <w:r>
        <w:t xml:space="preserve">industrial discharge point (20 km distance band) to approximately 0.09–0.14</w:t>
      </w:r>
      <w:r>
        <w:t xml:space="preserve"> </w:t>
      </w:r>
      <w:r>
        <w:t xml:space="preserve">at 40–48 km — a real, if not perfectly monotonic, decline consistent with</w:t>
      </w:r>
      <w:r>
        <w:t xml:space="preserve"> </w:t>
      </w:r>
      <w:r>
        <w:t xml:space="preserve">the model’s own distance-decay construction (some non-monotonicity at</w:t>
      </w:r>
      <w:r>
        <w:t xml:space="preserve"> </w:t>
      </w:r>
      <w:r>
        <w:t xml:space="preserve">24–28 km is expected given real coastal geometry and other overlapping</w:t>
      </w:r>
      <w:r>
        <w:t xml:space="preserve"> </w:t>
      </w:r>
      <w:r>
        <w:t xml:space="preserve">threat sources).</w:t>
      </w:r>
    </w:p>
    <w:p>
      <w:pPr>
        <w:pStyle w:val="BodyText"/>
      </w:pPr>
      <w:r>
        <w:rPr>
          <w:b/>
          <w:bCs/>
        </w:rPr>
        <w:t xml:space="preserve">Zonal comparison:</w:t>
      </w:r>
      <w:r>
        <w:t xml:space="preserve"> </w:t>
      </w:r>
      <w:r>
        <w:t xml:space="preserve">mean risk over seagrass pixels inside the documented</w:t>
      </w:r>
      <w:r>
        <w:t xml:space="preserve"> </w:t>
      </w:r>
      <w:r>
        <w:t xml:space="preserve">dugong core was</w:t>
      </w:r>
      <w:r>
        <w:t xml:space="preserve"> </w:t>
      </w:r>
      <w:r>
        <w:rPr>
          <w:b/>
          <w:bCs/>
        </w:rPr>
        <w:t xml:space="preserve">0.461</w:t>
      </w:r>
      <w:r>
        <w:t xml:space="preserve">, versus</w:t>
      </w:r>
      <w:r>
        <w:t xml:space="preserve"> </w:t>
      </w:r>
      <w:r>
        <w:rPr>
          <w:b/>
          <w:bCs/>
        </w:rPr>
        <w:t xml:space="preserve">0.153</w:t>
      </w:r>
      <w:r>
        <w:t xml:space="preserve"> </w:t>
      </w:r>
      <w:r>
        <w:t xml:space="preserve">across the whole study area —</w:t>
      </w:r>
      <w:r>
        <w:t xml:space="preserve"> </w:t>
      </w:r>
      <w:r>
        <w:t xml:space="preserve">roughly</w:t>
      </w:r>
      <w:r>
        <w:t xml:space="preserve"> </w:t>
      </w:r>
      <w:r>
        <w:rPr>
          <w:b/>
          <w:bCs/>
        </w:rPr>
        <w:t xml:space="preserve">3× higher</w:t>
      </w:r>
      <w:r>
        <w:t xml:space="preserve"> </w:t>
      </w:r>
      <w:r>
        <w:t xml:space="preserve">inside the core. This is the result the model should</w:t>
      </w:r>
      <w:r>
        <w:t xml:space="preserve"> </w:t>
      </w:r>
      <w:r>
        <w:t xml:space="preserve">produce if it is correctly identifying valuable habitat under real pressure</w:t>
      </w:r>
      <w:r>
        <w:t xml:space="preserve"> </w:t>
      </w:r>
      <w:r>
        <w:t xml:space="preserve">specifically where dugongs are known to concentrate, rather than flagging</w:t>
      </w:r>
      <w:r>
        <w:t xml:space="preserve"> </w:t>
      </w:r>
      <w:r>
        <w:t xml:space="preserve">risk uniformly or at random locations.</w:t>
      </w:r>
    </w:p>
    <w:bookmarkEnd w:id="64"/>
    <w:bookmarkStart w:id="68" w:name="weight-sensitivity-analysis"/>
    <w:p>
      <w:pPr>
        <w:pStyle w:val="Heading2"/>
      </w:pPr>
      <w:r>
        <w:t xml:space="preserve">4.4 Weight-sensitivity analysis</w:t>
      </w:r>
    </w:p>
    <w:p>
      <w:pPr>
        <w:pStyle w:val="FirstParagraph"/>
      </w:pPr>
      <w:r>
        <w:t xml:space="preserve">Each of the five threat weights was independently perturbed by ±0.10 (and</w:t>
      </w:r>
      <w:r>
        <w:t xml:space="preserve"> </w:t>
      </w:r>
      <w:r>
        <w:t xml:space="preserve">re-normalized so weights still summed to 1.0), and the resulting high-risk</w:t>
      </w:r>
      <w:r>
        <w:t xml:space="preserve"> </w:t>
      </w:r>
      <w:r>
        <w:t xml:space="preserve">area was recomputed for each perturbation: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Weight perturbed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Coastal development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 stress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Discharge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Vessel pressure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+1%</w:t>
            </w:r>
          </w:p>
        </w:tc>
      </w:tr>
    </w:tbl>
    <w:p>
      <w:pPr>
        <w:pStyle w:val="BodyText"/>
      </w:pPr>
      <w:r>
        <w:t xml:space="preserve">Baseline high-risk area: 10,681.5 ha. Every perturbation changed the</w:t>
      </w:r>
      <w:r>
        <w:t xml:space="preserve"> </w:t>
      </w:r>
      <w:r>
        <w:t xml:space="preserve">high-risk area by no more than 3%, indicating the model’s ranked hotspots</w:t>
      </w:r>
      <w:r>
        <w:t xml:space="preserve"> </w:t>
      </w:r>
      <w:r>
        <w:t xml:space="preserve">are robust to the exact weighting chosen and not an artefact of one</w:t>
      </w:r>
      <w:r>
        <w:t xml:space="preserve"> </w:t>
      </w:r>
      <w:r>
        <w:t xml:space="preserve">specific set of assumptions.</w:t>
      </w:r>
    </w:p>
    <w:p>
      <w:pPr>
        <w:pStyle w:val="CaptionedFigure"/>
      </w:pPr>
      <w:r>
        <w:drawing>
          <wp:inline>
            <wp:extent cx="5334000" cy="3189861"/>
            <wp:effectExtent b="0" l="0" r="0" t="0"/>
            <wp:docPr descr="Weight-sensitivity analysis: change in high-risk area per +/-0.10 weight perturbation" title="" id="66" name="Picture"/>
            <a:graphic>
              <a:graphicData uri="http://schemas.openxmlformats.org/drawingml/2006/picture">
                <pic:pic>
                  <pic:nvPicPr>
                    <pic:cNvPr descr="../D_dashboard/figures/C5_weight_sensitivity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9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Weight-sensitivity analysis: change in high-risk area per +/-0.10 weight perturbation</w:t>
      </w:r>
    </w:p>
    <w:bookmarkEnd w:id="68"/>
    <w:bookmarkStart w:id="69" w:name="delivered-outputs"/>
    <w:p>
      <w:pPr>
        <w:pStyle w:val="Heading2"/>
      </w:pPr>
      <w:r>
        <w:t xml:space="preserve">4.5 Delivered outputs</w:t>
      </w:r>
    </w:p>
    <w:p>
      <w:pPr>
        <w:pStyle w:val="FirstParagraph"/>
      </w:pPr>
      <w:r>
        <w:t xml:space="preserve">The full pipeline exports, per run: a 5-class risk map</w:t>
      </w:r>
      <w:r>
        <w:t xml:space="preserve"> </w:t>
      </w:r>
      <w:r>
        <w:t xml:space="preserve">(</w:t>
      </w:r>
      <w:r>
        <w:rPr>
          <w:rStyle w:val="VerbatimChar"/>
        </w:rPr>
        <w:t xml:space="preserve">dugong_risk_class.tif</w:t>
      </w:r>
      <w:r>
        <w:t xml:space="preserve">), a continuous risk index</w:t>
      </w:r>
      <w:r>
        <w:t xml:space="preserve"> </w:t>
      </w:r>
      <w:r>
        <w:t xml:space="preserve">(</w:t>
      </w:r>
      <w:r>
        <w:rPr>
          <w:rStyle w:val="VerbatimChar"/>
        </w:rPr>
        <w:t xml:space="preserve">dugong_risk_index.tif</w:t>
      </w:r>
      <w:r>
        <w:t xml:space="preserve">), the underlying value and threat layers for</w:t>
      </w:r>
      <w:r>
        <w:t xml:space="preserve"> </w:t>
      </w:r>
      <w:r>
        <w:t xml:space="preserve">drill-down analysis, a ranked hotspot vector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dugong_risk_hotspots.geojson</w:t>
      </w:r>
      <w:r>
        <w:t xml:space="preserve">), and the five threat context layers used as</w:t>
      </w:r>
      <w:r>
        <w:t xml:space="preserve"> </w:t>
      </w:r>
      <w:r>
        <w:t xml:space="preserve">inputs — all consumed directly by the interactive dashboard described in</w:t>
      </w:r>
      <w:r>
        <w:t xml:space="preserve"> </w:t>
      </w:r>
      <w:r>
        <w:t xml:space="preserve">Section 5 /</w:t>
      </w:r>
      <w:r>
        <w:t xml:space="preserve"> </w:t>
      </w:r>
      <w:r>
        <w:rPr>
          <w:rStyle w:val="VerbatimChar"/>
        </w:rPr>
        <w:t xml:space="preserve">D_dashboard/</w:t>
      </w:r>
      <w:r>
        <w:t xml:space="preserve">.</w:t>
      </w:r>
    </w:p>
    <w:bookmarkEnd w:id="69"/>
    <w:bookmarkEnd w:id="70"/>
    <w:bookmarkStart w:id="74" w:name="impact"/>
    <w:p>
      <w:pPr>
        <w:pStyle w:val="Heading1"/>
      </w:pPr>
      <w:r>
        <w:t xml:space="preserve">5. Impact</w:t>
      </w:r>
    </w:p>
    <w:bookmarkStart w:id="71" w:name="local-impact-abu-dhabi-uae"/>
    <w:p>
      <w:pPr>
        <w:pStyle w:val="Heading2"/>
      </w:pPr>
      <w:r>
        <w:t xml:space="preserve">5.1 Local impact — Abu Dhabi / UAE</w:t>
      </w:r>
    </w:p>
    <w:p>
      <w:pPr>
        <w:pStyle w:val="FirstParagraph"/>
      </w:pPr>
      <w:r>
        <w:rPr>
          <w:b/>
          <w:bCs/>
        </w:rPr>
        <w:t xml:space="preserve">Direct conservation planning use.</w:t>
      </w:r>
      <w:r>
        <w:t xml:space="preserve"> </w:t>
      </w:r>
      <w:r>
        <w:t xml:space="preserve">The ranked hotspot output (Section</w:t>
      </w:r>
      <w:r>
        <w:t xml:space="preserve"> </w:t>
      </w:r>
      <w:r>
        <w:t xml:space="preserve">4.2) is designed to answer a specific, practical question for regulators</w:t>
      </w:r>
      <w:r>
        <w:t xml:space="preserve"> </w:t>
      </w:r>
      <w:r>
        <w:t xml:space="preserve">and conservation managers: given limited enforcement, monitoring, or</w:t>
      </w:r>
      <w:r>
        <w:t xml:space="preserve"> </w:t>
      </w:r>
      <w:r>
        <w:t xml:space="preserve">restoration budget, which specific locations should be prioritised first?</w:t>
      </w:r>
      <w:r>
        <w:t xml:space="preserve"> </w:t>
      </w:r>
      <w:r>
        <w:t xml:space="preserve">Rather than a generic habitat map, the output ranks 105 concrete locations</w:t>
      </w:r>
      <w:r>
        <w:t xml:space="preserve"> </w:t>
      </w:r>
      <w:r>
        <w:t xml:space="preserve">by a transparent, defensible combination of habitat value and real</w:t>
      </w:r>
      <w:r>
        <w:t xml:space="preserve"> </w:t>
      </w:r>
      <w:r>
        <w:t xml:space="preserve">pressure — the kind of output that can directly inform where a protected-</w:t>
      </w:r>
      <w:r>
        <w:t xml:space="preserve"> </w:t>
      </w:r>
      <w:r>
        <w:t xml:space="preserve">area boundary review, a dredging permit condition, or a monitoring buoy</w:t>
      </w:r>
      <w:r>
        <w:t xml:space="preserve"> </w:t>
      </w:r>
      <w:r>
        <w:t xml:space="preserve">placement should be targeted.</w:t>
      </w:r>
    </w:p>
    <w:p>
      <w:pPr>
        <w:pStyle w:val="BodyText"/>
      </w:pPr>
      <w:r>
        <w:rPr>
          <w:b/>
          <w:bCs/>
        </w:rPr>
        <w:t xml:space="preserve">A monitoring baseline, not a one-off snapshot.</w:t>
      </w:r>
      <w:r>
        <w:t xml:space="preserve"> </w:t>
      </w:r>
      <w:r>
        <w:t xml:space="preserve">Because the pipeline is</w:t>
      </w:r>
      <w:r>
        <w:t xml:space="preserve"> </w:t>
      </w:r>
      <w:r>
        <w:t xml:space="preserve">built entirely on free, continuously updated Sentinel-2 and Landsat data</w:t>
      </w:r>
      <w:r>
        <w:t xml:space="preserve"> </w:t>
      </w:r>
      <w:r>
        <w:t xml:space="preserve">and open-source tooling (Section 3.5), it can be re-run in future years at</w:t>
      </w:r>
      <w:r>
        <w:t xml:space="preserve"> </w:t>
      </w:r>
      <w:r>
        <w:t xml:space="preserve">effectively zero marginal data cost. The 2019→2024 change layer already</w:t>
      </w:r>
      <w:r>
        <w:t xml:space="preserve"> </w:t>
      </w:r>
      <w:r>
        <w:t xml:space="preserve">demonstrates this: the same pipeline that produced this project’s results</w:t>
      </w:r>
      <w:r>
        <w:t xml:space="preserve"> </w:t>
      </w:r>
      <w:r>
        <w:t xml:space="preserve">can be re-run against any future date range to track whether identified</w:t>
      </w:r>
      <w:r>
        <w:t xml:space="preserve"> </w:t>
      </w:r>
      <w:r>
        <w:t xml:space="preserve">hotspots are stabilising, worsening, or responding to intervention —</w:t>
      </w:r>
      <w:r>
        <w:t xml:space="preserve"> </w:t>
      </w:r>
      <w:r>
        <w:t xml:space="preserve">turning a static assessment into a repeatable monitoring tool.</w:t>
      </w:r>
    </w:p>
    <w:p>
      <w:pPr>
        <w:pStyle w:val="BodyText"/>
      </w:pPr>
      <w:r>
        <w:rPr>
          <w:b/>
          <w:bCs/>
        </w:rPr>
        <w:t xml:space="preserve">Support for the Marawah Marine Biosphere Reserve’s own mandate.</w:t>
      </w:r>
      <w:r>
        <w:t xml:space="preserve"> </w:t>
      </w:r>
      <w:r>
        <w:t xml:space="preserve">The</w:t>
      </w:r>
      <w:r>
        <w:t xml:space="preserve"> </w:t>
      </w:r>
      <w:r>
        <w:t xml:space="preserve">reserve’s UNESCO Man and the Biosphere designation and Marine Protected</w:t>
      </w:r>
      <w:r>
        <w:t xml:space="preserve"> </w:t>
      </w:r>
      <w:r>
        <w:t xml:space="preserve">Area status (Section 2.3) already commit it to evidence-based management.</w:t>
      </w:r>
      <w:r>
        <w:t xml:space="preserve"> </w:t>
      </w:r>
      <w:r>
        <w:t xml:space="preserve">This project’s zonal finding — that mean risk inside the documented dugong</w:t>
      </w:r>
      <w:r>
        <w:t xml:space="preserve"> </w:t>
      </w:r>
      <w:r>
        <w:t xml:space="preserve">core is roughly 3× the reserve-wide average (Section 4.3) — gives that</w:t>
      </w:r>
      <w:r>
        <w:t xml:space="preserve"> </w:t>
      </w:r>
      <w:r>
        <w:t xml:space="preserve">mandate a concrete, quantified starting point, rather than a general</w:t>
      </w:r>
      <w:r>
        <w:t xml:space="preserve"> </w:t>
      </w:r>
      <w:r>
        <w:t xml:space="preserve">statement that</w:t>
      </w:r>
      <w:r>
        <w:t xml:space="preserve"> </w:t>
      </w:r>
      <w:r>
        <w:t xml:space="preserve">“the core matters.”</w:t>
      </w:r>
    </w:p>
    <w:bookmarkEnd w:id="71"/>
    <w:bookmarkStart w:id="72" w:name="regional-and-global-scale"/>
    <w:p>
      <w:pPr>
        <w:pStyle w:val="Heading2"/>
      </w:pPr>
      <w:r>
        <w:t xml:space="preserve">5.2 Regional and global scale</w:t>
      </w:r>
    </w:p>
    <w:p>
      <w:pPr>
        <w:pStyle w:val="FirstParagraph"/>
      </w:pPr>
      <w:r>
        <w:rPr>
          <w:b/>
          <w:bCs/>
        </w:rPr>
        <w:t xml:space="preserve">A reusable model, not a one-off map.</w:t>
      </w:r>
      <w:r>
        <w:t xml:space="preserve"> </w:t>
      </w:r>
      <w:r>
        <w:t xml:space="preserve">The exposure × consequence risk</w:t>
      </w:r>
      <w:r>
        <w:t xml:space="preserve"> </w:t>
      </w:r>
      <w:r>
        <w:t xml:space="preserve">structure (Section 3.3), the specific threat factors modelled, and the</w:t>
      </w:r>
      <w:r>
        <w:t xml:space="preserve"> </w:t>
      </w:r>
      <w:r>
        <w:t xml:space="preserve">validation approach (face validity, zonal comparison, weight sensitivity)</w:t>
      </w:r>
      <w:r>
        <w:t xml:space="preserve"> </w:t>
      </w:r>
      <w:r>
        <w:t xml:space="preserve">are not specific to seagrass or to the Arabian Gulf. The same structure —</w:t>
      </w:r>
      <w:r>
        <w:t xml:space="preserve"> </w:t>
      </w:r>
      <w:r>
        <w:t xml:space="preserve">combine a habitat-value layer with a weighted, distance-decayed threat</w:t>
      </w:r>
      <w:r>
        <w:t xml:space="preserve"> </w:t>
      </w:r>
      <w:r>
        <w:t xml:space="preserve">overlay, validate against known ground truth, and stress-test the weights —</w:t>
      </w:r>
      <w:r>
        <w:t xml:space="preserve"> </w:t>
      </w:r>
      <w:r>
        <w:t xml:space="preserve">applies directly to other single-species-dependent, threat-exposed marine</w:t>
      </w:r>
      <w:r>
        <w:t xml:space="preserve"> </w:t>
      </w:r>
      <w:r>
        <w:t xml:space="preserve">habitats: for example, dugong populations elsewhere in the Indo-Pacific,</w:t>
      </w:r>
      <w:r>
        <w:t xml:space="preserve"> </w:t>
      </w:r>
      <w:r>
        <w:t xml:space="preserve">manatee seagrass habitat in the Americas, or other coastal species whose</w:t>
      </w:r>
      <w:r>
        <w:t xml:space="preserve"> </w:t>
      </w:r>
      <w:r>
        <w:t xml:space="preserve">survival is tied to a mappable, satellite-visible habitat type.</w:t>
      </w:r>
    </w:p>
    <w:p>
      <w:pPr>
        <w:pStyle w:val="BodyText"/>
      </w:pPr>
      <w:r>
        <w:rPr>
          <w:b/>
          <w:bCs/>
        </w:rPr>
        <w:t xml:space="preserve">Addressing a documented gap with free tools.</w:t>
      </w:r>
      <w:r>
        <w:t xml:space="preserve"> </w:t>
      </w:r>
      <w:r>
        <w:t xml:space="preserve">As established in Section</w:t>
      </w:r>
      <w:r>
        <w:t xml:space="preserve"> </w:t>
      </w:r>
      <w:r>
        <w:t xml:space="preserve">2.4, no existing public tool combines seagrass classification, change</w:t>
      </w:r>
      <w:r>
        <w:t xml:space="preserve"> </w:t>
      </w:r>
      <w:r>
        <w:t xml:space="preserve">detection, and multi-factor threat weighting into one reproducible,</w:t>
      </w:r>
      <w:r>
        <w:t xml:space="preserve"> </w:t>
      </w:r>
      <w:r>
        <w:t xml:space="preserve">auditable output for dugong conservation specifically. Because this project</w:t>
      </w:r>
      <w:r>
        <w:t xml:space="preserve"> </w:t>
      </w:r>
      <w:r>
        <w:t xml:space="preserve">relies exclusively on free Sentinel-2/Landsat imagery via Google Earth</w:t>
      </w:r>
      <w:r>
        <w:t xml:space="preserve"> </w:t>
      </w:r>
      <w:r>
        <w:t xml:space="preserve">Engine, publicly available EAD-style habitat records, and open-source</w:t>
      </w:r>
      <w:r>
        <w:t xml:space="preserve"> </w:t>
      </w:r>
      <w:r>
        <w:t xml:space="preserve">Python tooling, the barrier to adopting or adapting this approach elsewhere</w:t>
      </w:r>
      <w:r>
        <w:t xml:space="preserve"> </w:t>
      </w:r>
      <w:r>
        <w:t xml:space="preserve">is primarily know-how, not cost or licensing — relevant for conservation</w:t>
      </w:r>
      <w:r>
        <w:t xml:space="preserve"> </w:t>
      </w:r>
      <w:r>
        <w:t xml:space="preserve">programmes in lower-resource settings where commercial imagery or bespoke</w:t>
      </w:r>
      <w:r>
        <w:t xml:space="preserve"> </w:t>
      </w:r>
      <w:r>
        <w:t xml:space="preserve">GIS consulting is not a realistic option.</w:t>
      </w:r>
    </w:p>
    <w:bookmarkEnd w:id="72"/>
    <w:bookmarkStart w:id="73" w:name="scope-of-these-claims"/>
    <w:p>
      <w:pPr>
        <w:pStyle w:val="Heading2"/>
      </w:pPr>
      <w:r>
        <w:t xml:space="preserve">5.3 Scope of these claims</w:t>
      </w:r>
    </w:p>
    <w:p>
      <w:pPr>
        <w:pStyle w:val="FirstParagraph"/>
      </w:pPr>
      <w:r>
        <w:t xml:space="preserve">Dugong Watch is a working, validated prototype. The impact described above is</w:t>
      </w:r>
      <w:r>
        <w:t xml:space="preserve"> </w:t>
      </w:r>
      <w:r>
        <w:t xml:space="preserve">what its outputs are built to enable; realising it in practice is the natural</w:t>
      </w:r>
      <w:r>
        <w:t xml:space="preserve"> </w:t>
      </w:r>
      <w:r>
        <w:t xml:space="preserve">next step — putting the tool in front of the agencies and researchers who would</w:t>
      </w:r>
      <w:r>
        <w:t xml:space="preserve"> </w:t>
      </w:r>
      <w:r>
        <w:t xml:space="preserve">use it, and replacing the model’s schematic inputs with official GIS layers</w:t>
      </w:r>
      <w:r>
        <w:t xml:space="preserve"> </w:t>
      </w:r>
      <w:r>
        <w:t xml:space="preserve">where available. Section 8 sets out these limitations in full, and does so</w:t>
      </w:r>
      <w:r>
        <w:t xml:space="preserve"> </w:t>
      </w:r>
      <w:r>
        <w:t xml:space="preserve">deliberately: a tool that documents its own assumptions is more trustworthy to</w:t>
      </w:r>
      <w:r>
        <w:t xml:space="preserve"> </w:t>
      </w:r>
      <w:r>
        <w:t xml:space="preserve">act on, not less.</w:t>
      </w:r>
    </w:p>
    <w:bookmarkEnd w:id="73"/>
    <w:bookmarkEnd w:id="74"/>
    <w:bookmarkStart w:id="80" w:name="competition-prompt-answers"/>
    <w:p>
      <w:pPr>
        <w:pStyle w:val="Heading1"/>
      </w:pPr>
      <w:r>
        <w:t xml:space="preserve">6. Competition Prompt Answers</w:t>
      </w:r>
    </w:p>
    <w:p>
      <w:pPr>
        <w:pStyle w:val="FirstParagraph"/>
      </w:pPr>
      <w:r>
        <w:rPr>
          <w:i/>
          <w:iCs/>
        </w:rPr>
        <w:t xml:space="preserve">The five questions below are reproduced as worded in the official</w:t>
      </w:r>
      <w:r>
        <w:rPr>
          <w:i/>
          <w:iCs/>
        </w:rPr>
        <w:t xml:space="preserve"> </w:t>
      </w:r>
      <w:r>
        <w:rPr>
          <w:i/>
          <w:iCs/>
        </w:rPr>
        <w:t xml:space="preserve">Prototypes for Humanity 2026 Entry Guide.</w:t>
      </w:r>
    </w:p>
    <w:bookmarkStart w:id="75" w:name="what-problem-are-you-addressing"/>
    <w:p>
      <w:pPr>
        <w:pStyle w:val="Heading2"/>
      </w:pPr>
      <w:r>
        <w:t xml:space="preserve">What problem are you addressing?</w:t>
      </w:r>
    </w:p>
    <w:p>
      <w:pPr>
        <w:pStyle w:val="FirstParagraph"/>
      </w:pPr>
      <w:r>
        <w:t xml:space="preserve">The Arabian Gulf holds the world’s second-largest dugong population</w:t>
      </w:r>
      <w:r>
        <w:t xml:space="preserve"> </w:t>
      </w:r>
      <w:r>
        <w:t xml:space="preserve">(~3,000–3,500 individuals), concentrated in the Marawah / Bu Tinah region of</w:t>
      </w:r>
      <w:r>
        <w:t xml:space="preserve"> </w:t>
      </w:r>
      <w:r>
        <w:t xml:space="preserve">Abu Dhabi. Dugongs feed almost exclusively on seagrass, and that seagrass is</w:t>
      </w:r>
      <w:r>
        <w:t xml:space="preserve"> </w:t>
      </w:r>
      <w:r>
        <w:t xml:space="preserve">under measurable pressure from coastal development, dredging, desalination</w:t>
      </w:r>
      <w:r>
        <w:t xml:space="preserve"> </w:t>
      </w:r>
      <w:r>
        <w:t xml:space="preserve">discharge, marine heat, and vessel traffic. Conservation planners currently</w:t>
      </w:r>
      <w:r>
        <w:t xml:space="preserve"> </w:t>
      </w:r>
      <w:r>
        <w:t xml:space="preserve">lack a reproducible way to answer a specific question: not just</w:t>
      </w:r>
      <w:r>
        <w:t xml:space="preserve"> </w:t>
      </w:r>
      <w:r>
        <w:t xml:space="preserve">“where is</w:t>
      </w:r>
      <w:r>
        <w:t xml:space="preserve"> </w:t>
      </w:r>
      <w:r>
        <w:t xml:space="preserve">there seagrass,”</w:t>
      </w:r>
      <w:r>
        <w:t xml:space="preserve"> </w:t>
      </w:r>
      <w:r>
        <w:t xml:space="preserve">but where seagrass presence and real threat pressure</w:t>
      </w:r>
      <w:r>
        <w:t xml:space="preserve"> </w:t>
      </w:r>
      <w:r>
        <w:t xml:space="preserve">actually overlap — the locations where habitat loss would matter most for</w:t>
      </w:r>
      <w:r>
        <w:t xml:space="preserve"> </w:t>
      </w:r>
      <w:r>
        <w:t xml:space="preserve">dugong survival, and where limited protection resources should go first.</w:t>
      </w:r>
    </w:p>
    <w:bookmarkEnd w:id="75"/>
    <w:bookmarkStart w:id="76" w:name="how-are-existing-solutions-failing"/>
    <w:p>
      <w:pPr>
        <w:pStyle w:val="Heading2"/>
      </w:pPr>
      <w:r>
        <w:t xml:space="preserve">How are existing solutions failing?</w:t>
      </w:r>
    </w:p>
    <w:p>
      <w:pPr>
        <w:pStyle w:val="FirstParagraph"/>
      </w:pPr>
      <w:r>
        <w:t xml:space="preserve">Habitat surveys are episodic, expensive, and quickly out of date. Threat</w:t>
      </w:r>
      <w:r>
        <w:t xml:space="preserve"> </w:t>
      </w:r>
      <w:r>
        <w:t xml:space="preserve">data — development sites, discharge points, vessel routes, thermal stress —</w:t>
      </w:r>
      <w:r>
        <w:t xml:space="preserve"> </w:t>
      </w:r>
      <w:r>
        <w:t xml:space="preserve">exists scattered across sources with no standard way to combine it with</w:t>
      </w:r>
      <w:r>
        <w:t xml:space="preserve"> </w:t>
      </w:r>
      <w:r>
        <w:t xml:space="preserve">habitat data. Generic seagrass extent maps show</w:t>
      </w:r>
      <w:r>
        <w:t xml:space="preserve"> </w:t>
      </w:r>
      <w:r>
        <w:rPr>
          <w:i/>
          <w:iCs/>
        </w:rPr>
        <w:t xml:space="preserve">where seagrass is</w:t>
      </w:r>
      <w:r>
        <w:t xml:space="preserve"> </w:t>
      </w:r>
      <w:r>
        <w:t xml:space="preserve">but not</w:t>
      </w:r>
      <w:r>
        <w:t xml:space="preserve"> </w:t>
      </w:r>
      <w:r>
        <w:rPr>
          <w:i/>
          <w:iCs/>
        </w:rPr>
        <w:t xml:space="preserve">where it is at risk</w:t>
      </w:r>
      <w:r>
        <w:t xml:space="preserve">; generic environmental risk indices show</w:t>
      </w:r>
      <w: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w:r>
        <w:rPr>
          <w:i/>
          <w:iCs/>
        </w:rPr>
        <w:t xml:space="preserve">pressure is</w:t>
      </w:r>
      <w:r>
        <w:t xml:space="preserve"> </w:t>
      </w:r>
      <w:r>
        <w:t xml:space="preserve">but are not conditioned on whether anything of habitat value is</w:t>
      </w:r>
      <w:r>
        <w:t xml:space="preserve"> </w:t>
      </w:r>
      <w:r>
        <w:t xml:space="preserve">actually there. No existing, publicly available tool combines habitat</w:t>
      </w:r>
      <w:r>
        <w:t xml:space="preserve"> </w:t>
      </w:r>
      <w:r>
        <w:t xml:space="preserve">classification, change detection, and multi-factor threat weighting into</w:t>
      </w:r>
      <w:r>
        <w:t xml:space="preserve"> </w:t>
      </w:r>
      <w:r>
        <w:t xml:space="preserve">one reproducible, auditable risk output specific to dugong habitat.</w:t>
      </w:r>
    </w:p>
    <w:bookmarkEnd w:id="76"/>
    <w:bookmarkStart w:id="77" w:name="what-is-your-alternative-solution"/>
    <w:p>
      <w:pPr>
        <w:pStyle w:val="Heading2"/>
      </w:pPr>
      <w:r>
        <w:t xml:space="preserve">What is your alternative solution?</w:t>
      </w:r>
    </w:p>
    <w:p>
      <w:pPr>
        <w:pStyle w:val="FirstParagraph"/>
      </w:pPr>
      <w:r>
        <w:t xml:space="preserve">Dugong Watch is an end-to-end, open pipeline that classifies seagrass from</w:t>
      </w:r>
      <w:r>
        <w:t xml:space="preserve"> </w:t>
      </w:r>
      <w:r>
        <w:t xml:space="preserve">free Sentinel-2 satellite imagery using a Random Forest model trained</w:t>
      </w:r>
      <w:r>
        <w:t xml:space="preserve"> </w:t>
      </w:r>
      <w:r>
        <w:t xml:space="preserve">against official habitat survey data, detects seagrass change between 2019</w:t>
      </w:r>
      <w:r>
        <w:t xml:space="preserve"> </w:t>
      </w:r>
      <w:r>
        <w:t xml:space="preserve">and 2024, and combines that with five real, geographically specific threat</w:t>
      </w:r>
      <w:r>
        <w:t xml:space="preserve"> </w:t>
      </w:r>
      <w:r>
        <w:t xml:space="preserve">factors — observed loss, coastal development, thermal stress, industrial</w:t>
      </w:r>
      <w:r>
        <w:t xml:space="preserve"> </w:t>
      </w:r>
      <w:r>
        <w:t xml:space="preserve">discharge, and vessel pressure — into a single weighted risk index</w:t>
      </w:r>
      <w:r>
        <w:t xml:space="preserve"> </w:t>
      </w:r>
      <w:r>
        <w:t xml:space="preserve">(</w:t>
      </w:r>
      <w:r>
        <w:rPr>
          <w:rStyle w:val="VerbatimChar"/>
        </w:rPr>
        <w:t xml:space="preserve">Risk = Value × Threat</w:t>
      </w:r>
      <w:r>
        <w:t xml:space="preserve">). The output is 105 ranked, specific hotspots, not</w:t>
      </w:r>
      <w:r>
        <w:t xml:space="preserve"> </w:t>
      </w:r>
      <w:r>
        <w:t xml:space="preserve">a generic map, delivered through an interactive dashboard alongside all</w:t>
      </w:r>
      <w:r>
        <w:t xml:space="preserve"> </w:t>
      </w:r>
      <w:r>
        <w:t xml:space="preserve">underlying code and data so every step can be reproduced or audited.</w:t>
      </w:r>
    </w:p>
    <w:bookmarkEnd w:id="77"/>
    <w:bookmarkStart w:id="78" w:name="how-does-it-perform-better"/>
    <w:p>
      <w:pPr>
        <w:pStyle w:val="Heading2"/>
      </w:pPr>
      <w:r>
        <w:t xml:space="preserve">How does it perform better?</w:t>
      </w:r>
    </w:p>
    <w:p>
      <w:pPr>
        <w:pStyle w:val="FirstParagraph"/>
      </w:pPr>
      <w:r>
        <w:t xml:space="preserve">The classification reaches 85.3% accuracy (class-balanced Random Forest),</w:t>
      </w:r>
      <w:r>
        <w:t xml:space="preserve"> </w:t>
      </w:r>
      <w:r>
        <w:t xml:space="preserve">within the published 73–87% range for this method. Unlike a static survey</w:t>
      </w:r>
      <w:r>
        <w:t xml:space="preserve"> </w:t>
      </w:r>
      <w:r>
        <w:t xml:space="preserve">or a generic index, the risk model is validated three specific ways: mean</w:t>
      </w:r>
      <w:r>
        <w:t xml:space="preserve"> </w:t>
      </w:r>
      <w:r>
        <w:t xml:space="preserve">risk correctly falls with distance from a real discharge point; mean risk</w:t>
      </w:r>
      <w:r>
        <w:t xml:space="preserve"> </w:t>
      </w:r>
      <w:r>
        <w:t xml:space="preserve">inside the documented dugong core is roughly 3× the reserve-wide average,</w:t>
      </w:r>
      <w:r>
        <w:t xml:space="preserve"> </w:t>
      </w:r>
      <w:r>
        <w:t xml:space="preserve">showing the model targets habitat where it actually matters; and every</w:t>
      </w:r>
      <w:r>
        <w:t xml:space="preserve"> </w:t>
      </w:r>
      <w:r>
        <w:t xml:space="preserve">weight was stress-tested by perturbing it ±10%, changing the flagged</w:t>
      </w:r>
      <w:r>
        <w:t xml:space="preserve"> </w:t>
      </w:r>
      <w:r>
        <w:t xml:space="preserve">high-risk area by no more than 3% — the output is not an artefact of one</w:t>
      </w:r>
      <w:r>
        <w:t xml:space="preserve"> </w:t>
      </w:r>
      <w:r>
        <w:t xml:space="preserve">arbitrary set of assumptions. It also runs entirely on free data and</w:t>
      </w:r>
      <w:r>
        <w:t xml:space="preserve"> </w:t>
      </w:r>
      <w:r>
        <w:t xml:space="preserve">open-source tools, so it can be re-run at effectively zero marginal cost as</w:t>
      </w:r>
      <w:r>
        <w:t xml:space="preserve"> </w:t>
      </w:r>
      <w:r>
        <w:t xml:space="preserve">new imagery becomes available, turning a one-off assessment into a</w:t>
      </w:r>
      <w:r>
        <w:t xml:space="preserve"> </w:t>
      </w:r>
      <w:r>
        <w:t xml:space="preserve">repeatable monitoring tool.</w:t>
      </w:r>
    </w:p>
    <w:bookmarkEnd w:id="78"/>
    <w:bookmarkStart w:id="79" w:name="what-impact-does-your-solution-have"/>
    <w:p>
      <w:pPr>
        <w:pStyle w:val="Heading2"/>
      </w:pPr>
      <w:r>
        <w:t xml:space="preserve">What impact does your solution have?</w:t>
      </w:r>
    </w:p>
    <w:p>
      <w:pPr>
        <w:pStyle w:val="FirstParagraph"/>
      </w:pPr>
      <w:r>
        <w:t xml:space="preserve">Locally, it gives Abu Dhabi conservation managers a ranked, evidence-based</w:t>
      </w:r>
      <w:r>
        <w:t xml:space="preserve"> </w:t>
      </w:r>
      <w:r>
        <w:t xml:space="preserve">starting point for where to prioritise enforcement, permitting conditions,</w:t>
      </w:r>
      <w:r>
        <w:t xml:space="preserve"> </w:t>
      </w:r>
      <w:r>
        <w:t xml:space="preserve">or monitoring effort, backed by a quantified finding that risk is</w:t>
      </w:r>
      <w:r>
        <w:t xml:space="preserve"> </w:t>
      </w:r>
      <w:r>
        <w:t xml:space="preserve">concentrated where dugongs actually are. Because it relies only on free</w:t>
      </w:r>
      <w:r>
        <w:t xml:space="preserve"> </w:t>
      </w:r>
      <w:r>
        <w:t xml:space="preserve">satellite data and open tooling, the same risk-modelling structure —</w:t>
      </w:r>
      <w:r>
        <w:t xml:space="preserve"> </w:t>
      </w:r>
      <w:r>
        <w:t xml:space="preserve">combine a habitat-value layer with a weighted, distance-decayed threat</w:t>
      </w:r>
      <w:r>
        <w:t xml:space="preserve"> </w:t>
      </w:r>
      <w:r>
        <w:t xml:space="preserve">overlay, then validate against real ground truth — is directly reusable for</w:t>
      </w:r>
      <w:r>
        <w:t xml:space="preserve"> </w:t>
      </w:r>
      <w:r>
        <w:t xml:space="preserve">other single-species-dependent, threat-exposed marine habitats elsewhere in</w:t>
      </w:r>
      <w:r>
        <w:t xml:space="preserve"> </w:t>
      </w:r>
      <w:r>
        <w:t xml:space="preserve">the world, without the cost or licensing barriers that commercial imagery or</w:t>
      </w:r>
      <w:r>
        <w:t xml:space="preserve"> </w:t>
      </w:r>
      <w:r>
        <w:t xml:space="preserve">bespoke GIS consulting would otherwise impose.</w:t>
      </w:r>
    </w:p>
    <w:bookmarkEnd w:id="79"/>
    <w:bookmarkEnd w:id="80"/>
    <w:bookmarkStart w:id="82" w:name="references"/>
    <w:p>
      <w:pPr>
        <w:pStyle w:val="Heading1"/>
      </w:pPr>
      <w:r>
        <w:t xml:space="preserve">7. References</w:t>
      </w:r>
    </w:p>
    <w:p>
      <w:pPr>
        <w:pStyle w:val="FirstParagraph"/>
      </w:pPr>
      <w:r>
        <w:t xml:space="preserve">References follow APA style (7th edition).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Arkema, K. K., Guannel, G., Verutes, G., Wood, S. A., Guerry, A., Ruckelshaus,</w:t>
      </w:r>
      <w:r>
        <w:t xml:space="preserve"> </w:t>
      </w:r>
      <w:r>
        <w:t xml:space="preserve">M., Kareiva, P., Lacayo, M., &amp; Silver, J. M. (2013). Coastal habitats shield</w:t>
      </w:r>
      <w:r>
        <w:t xml:space="preserve"> </w:t>
      </w:r>
      <w:r>
        <w:t xml:space="preserve">people and property from sea-level rise and storms.</w:t>
      </w:r>
      <w:r>
        <w:t xml:space="preserve"> </w:t>
      </w:r>
      <w:r>
        <w:rPr>
          <w:i/>
          <w:iCs/>
        </w:rPr>
        <w:t xml:space="preserve">Nature Climate Change,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t xml:space="preserve">(10), 913–918.</w:t>
      </w:r>
    </w:p>
    <w:p>
      <w:pPr>
        <w:pStyle w:val="BodyText"/>
      </w:pPr>
      <w:r>
        <w:t xml:space="preserve">Dugong &amp; Seagrass Conservation Project. (n.d.).</w:t>
      </w:r>
      <w:r>
        <w:t xml:space="preserve"> </w:t>
      </w:r>
      <w:r>
        <w:rPr>
          <w:i/>
          <w:iCs/>
        </w:rPr>
        <w:t xml:space="preserve">United Arab Emirates country</w:t>
      </w:r>
      <w:r>
        <w:rPr>
          <w:i/>
          <w:iCs/>
        </w:rPr>
        <w:t xml:space="preserve"> </w:t>
      </w:r>
      <w:r>
        <w:rPr>
          <w:i/>
          <w:iCs/>
        </w:rPr>
        <w:t xml:space="preserve">page</w:t>
      </w:r>
      <w:r>
        <w:t xml:space="preserve">. UNEP/CMS Dugong MOU. Retrieved from https://www.dugongconservation.org</w:t>
      </w:r>
    </w:p>
    <w:p>
      <w:pPr>
        <w:pStyle w:val="BodyText"/>
      </w:pPr>
      <w:r>
        <w:t xml:space="preserve">Environment Agency – Abu Dhabi. (2015).</w:t>
      </w:r>
      <w:r>
        <w:t xml:space="preserve"> </w:t>
      </w:r>
      <w:r>
        <w:rPr>
          <w:i/>
          <w:iCs/>
        </w:rPr>
        <w:t xml:space="preserve">Aerial survey of dugongs in Abu Dhabi</w:t>
      </w:r>
      <w:r>
        <w:rPr>
          <w:i/>
          <w:iCs/>
        </w:rPr>
        <w:t xml:space="preserve"> </w:t>
      </w:r>
      <w:r>
        <w:rPr>
          <w:i/>
          <w:iCs/>
        </w:rPr>
        <w:t xml:space="preserve">waters</w:t>
      </w:r>
      <w:r>
        <w:t xml:space="preserve">. Environment Agency – Abu Dhabi.</w:t>
      </w:r>
    </w:p>
    <w:p>
      <w:pPr>
        <w:pStyle w:val="BodyText"/>
      </w:pPr>
      <w:r>
        <w:t xml:space="preserve">Environment Agency – Abu Dhabi. (n.d.).</w:t>
      </w:r>
      <w:r>
        <w:t xml:space="preserve"> </w:t>
      </w:r>
      <w:r>
        <w:rPr>
          <w:i/>
          <w:iCs/>
        </w:rPr>
        <w:t xml:space="preserve">Marawah Marine Biosphere Reserve —</w:t>
      </w:r>
      <w:r>
        <w:rPr>
          <w:i/>
          <w:iCs/>
        </w:rPr>
        <w:t xml:space="preserve"> </w:t>
      </w:r>
      <w:r>
        <w:rPr>
          <w:i/>
          <w:iCs/>
        </w:rPr>
        <w:t xml:space="preserve">Sheikh Zayed Protected Areas Network</w:t>
      </w:r>
      <w:r>
        <w:t xml:space="preserve">. Environment Agency – Abu Dhabi.</w:t>
      </w:r>
    </w:p>
    <w:p>
      <w:pPr>
        <w:pStyle w:val="BodyText"/>
      </w:pPr>
      <w:r>
        <w:t xml:space="preserve">Halpern, B. S., Walbridge, S., Selkoe, K. A., Kappel, C. V., Micheli, F.,</w:t>
      </w:r>
      <w:r>
        <w:t xml:space="preserve"> </w:t>
      </w:r>
      <w:r>
        <w:t xml:space="preserve">D’Agrosa, C., Bruno, J. F., Casey, K. S., Ebert, C., Fox, H. E., Fujita, R.,</w:t>
      </w:r>
      <w:r>
        <w:t xml:space="preserve"> </w:t>
      </w:r>
      <w:r>
        <w:t xml:space="preserve">Heinemann, D., Lenihan, H. S., Madin, E. M. P., Perry, M. T., Selig, E. R.,</w:t>
      </w:r>
      <w:r>
        <w:t xml:space="preserve"> </w:t>
      </w:r>
      <w:r>
        <w:t xml:space="preserve">Spalding, M., Steneck, R., &amp; Watson, R. (2008). A global map of human impact</w:t>
      </w:r>
      <w:r>
        <w:t xml:space="preserve"> </w:t>
      </w:r>
      <w:r>
        <w:t xml:space="preserve">on marine ecosystems.</w:t>
      </w:r>
      <w:r>
        <w:t xml:space="preserve"> </w:t>
      </w:r>
      <w:r>
        <w:rPr>
          <w:i/>
          <w:iCs/>
        </w:rPr>
        <w:t xml:space="preserve">Science, 319</w:t>
      </w:r>
      <w:r>
        <w:t xml:space="preserve">(5865), 948–952.</w:t>
      </w:r>
    </w:p>
    <w:p>
      <w:pPr>
        <w:pStyle w:val="BodyText"/>
      </w:pPr>
      <w:r>
        <w:t xml:space="preserve">Marine Mammal Protected Areas Task Force. (n.d.).</w:t>
      </w:r>
      <w:r>
        <w:t xml:space="preserve"> </w:t>
      </w:r>
      <w:r>
        <w:rPr>
          <w:i/>
          <w:iCs/>
        </w:rPr>
        <w:t xml:space="preserve">Southern Gulf and coastal</w:t>
      </w:r>
      <w:r>
        <w:rPr>
          <w:i/>
          <w:iCs/>
        </w:rPr>
        <w:t xml:space="preserve"> </w:t>
      </w:r>
      <w:r>
        <w:rPr>
          <w:i/>
          <w:iCs/>
        </w:rPr>
        <w:t xml:space="preserve">waters Important Marine Mammal Area (IMMA)</w:t>
      </w:r>
      <w:r>
        <w:t xml:space="preserve">. IUCN Marine Mammal Protected Areas</w:t>
      </w:r>
      <w:r>
        <w:t xml:space="preserve"> </w:t>
      </w:r>
      <w:r>
        <w:t xml:space="preserve">Task Force. Retrieved from https://www.marinemammalhabitat.org/immas/</w:t>
      </w:r>
    </w:p>
    <w:p>
      <w:pPr>
        <w:pStyle w:val="BodyText"/>
      </w:pPr>
      <w:r>
        <w:t xml:space="preserve">Marsh, H., Penrose, H., Eros, C., &amp; Hughes, J. (2002).</w:t>
      </w:r>
      <w:r>
        <w:t xml:space="preserve"> </w:t>
      </w:r>
      <w:r>
        <w:rPr>
          <w:i/>
          <w:iCs/>
        </w:rPr>
        <w:t xml:space="preserve">Dugong: Status report</w:t>
      </w:r>
      <w:r>
        <w:rPr>
          <w:i/>
          <w:iCs/>
        </w:rPr>
        <w:t xml:space="preserve"> </w:t>
      </w:r>
      <w:r>
        <w:rPr>
          <w:i/>
          <w:iCs/>
        </w:rPr>
        <w:t xml:space="preserve">and action plans for countries and territories</w:t>
      </w:r>
      <w:r>
        <w:t xml:space="preserve">. UNEP/DEWA/RS.02-1. United</w:t>
      </w:r>
      <w:r>
        <w:t xml:space="preserve"> </w:t>
      </w:r>
      <w:r>
        <w:t xml:space="preserve">Nations Environment Programme.</w:t>
      </w:r>
    </w:p>
    <w:p>
      <w:pPr>
        <w:pStyle w:val="BodyText"/>
      </w:pPr>
      <w:r>
        <w:t xml:space="preserve">Marsh, H., O’Shea, T. J., &amp; Reynolds, J. E. (2011).</w:t>
      </w:r>
      <w:r>
        <w:t xml:space="preserve"> </w:t>
      </w:r>
      <w:r>
        <w:rPr>
          <w:i/>
          <w:iCs/>
        </w:rPr>
        <w:t xml:space="preserve">Ecology and conservation</w:t>
      </w:r>
      <w:r>
        <w:rPr>
          <w:i/>
          <w:iCs/>
        </w:rPr>
        <w:t xml:space="preserve"> </w:t>
      </w:r>
      <w:r>
        <w:rPr>
          <w:i/>
          <w:iCs/>
        </w:rPr>
        <w:t xml:space="preserve">of the Sirenia: Dugongs and manatees</w:t>
      </w:r>
      <w:r>
        <w:t xml:space="preserve">. Cambridge University Press.</w:t>
      </w:r>
    </w:p>
    <w:p>
      <w:pPr>
        <w:pStyle w:val="BodyText"/>
      </w:pPr>
      <w:r>
        <w:t xml:space="preserve">Natural Capital Project. (n.d.).</w:t>
      </w:r>
      <w:r>
        <w:t xml:space="preserve"> </w:t>
      </w:r>
      <w:r>
        <w:rPr>
          <w:i/>
          <w:iCs/>
        </w:rPr>
        <w:t xml:space="preserve">InVEST user’s guide: Habitat Risk</w:t>
      </w:r>
      <w:r>
        <w:rPr>
          <w:i/>
          <w:iCs/>
        </w:rPr>
        <w:t xml:space="preserve"> </w:t>
      </w:r>
      <w:r>
        <w:rPr>
          <w:i/>
          <w:iCs/>
        </w:rPr>
        <w:t xml:space="preserve">Assessment</w:t>
      </w:r>
      <w:r>
        <w:t xml:space="preserve">. Stanford University, University of Minnesota, Chinese Academy of</w:t>
      </w:r>
      <w:r>
        <w:t xml:space="preserve"> </w:t>
      </w:r>
      <w:r>
        <w:t xml:space="preserve">Sciences, and World Wildlife Fund. Retrieved from</w:t>
      </w:r>
      <w:r>
        <w:t xml:space="preserve"> </w:t>
      </w:r>
      <w:r>
        <w:t xml:space="preserve">https://naturalcapitalproject.stanford.edu/software/invest</w:t>
      </w:r>
    </w:p>
    <w:p>
      <w:pPr>
        <w:pStyle w:val="BodyText"/>
      </w:pPr>
      <w:r>
        <w:t xml:space="preserve">UNESCO Man and the Biosphere Programme. (2007).</w:t>
      </w:r>
      <w:r>
        <w:t xml:space="preserve"> </w:t>
      </w:r>
      <w:r>
        <w:rPr>
          <w:i/>
          <w:iCs/>
        </w:rPr>
        <w:t xml:space="preserve">Marawah Biosphere Reserve,</w:t>
      </w:r>
      <w:r>
        <w:rPr>
          <w:i/>
          <w:iCs/>
        </w:rPr>
        <w:t xml:space="preserve"> </w:t>
      </w:r>
      <w:r>
        <w:rPr>
          <w:i/>
          <w:iCs/>
        </w:rPr>
        <w:t xml:space="preserve">United Arab Emirates</w:t>
      </w:r>
      <w:r>
        <w:t xml:space="preserve">. United Nations Educational, Scientific and Cultural</w:t>
      </w:r>
      <w:r>
        <w:t xml:space="preserve"> </w:t>
      </w:r>
      <w:r>
        <w:t xml:space="preserve">Organization.</w:t>
      </w:r>
    </w:p>
    <w:p>
      <w:r>
        <w:pict>
          <v:rect style="width:0;height:1.5pt" o:hralign="center" o:hrstd="t" o:hr="t"/>
        </w:pict>
      </w:r>
    </w:p>
    <w:bookmarkStart w:id="81" w:name="X84fc92f875cd9a0d499aff9f14f6b65fb1292bd"/>
    <w:p>
      <w:pPr>
        <w:pStyle w:val="Heading2"/>
      </w:pPr>
      <w:r>
        <w:t xml:space="preserve">Data sources (not literature, but requiring attribution)</w:t>
      </w:r>
    </w:p>
    <w:p>
      <w:pPr>
        <w:pStyle w:val="Compact"/>
        <w:numPr>
          <w:ilvl w:val="0"/>
          <w:numId w:val="1005"/>
        </w:numPr>
      </w:pPr>
      <w:r>
        <w:t xml:space="preserve">Copernicus Sentinel-2 imagery, European Space Agency (ESA), accessed via</w:t>
      </w:r>
      <w:r>
        <w:t xml:space="preserve"> </w:t>
      </w:r>
      <w:r>
        <w:t xml:space="preserve">Google Earth Engine.</w:t>
      </w:r>
    </w:p>
    <w:p>
      <w:pPr>
        <w:pStyle w:val="Compact"/>
        <w:numPr>
          <w:ilvl w:val="0"/>
          <w:numId w:val="1005"/>
        </w:numPr>
      </w:pPr>
      <w:r>
        <w:t xml:space="preserve">Landsat 8/9 Collection 2 Level-2 imagery, USGS/NASA, accessed via Google</w:t>
      </w:r>
      <w:r>
        <w:t xml:space="preserve"> </w:t>
      </w:r>
      <w:r>
        <w:t xml:space="preserve">Earth Engine.</w:t>
      </w:r>
    </w:p>
    <w:p>
      <w:pPr>
        <w:pStyle w:val="Compact"/>
        <w:numPr>
          <w:ilvl w:val="0"/>
          <w:numId w:val="1005"/>
        </w:numPr>
      </w:pPr>
      <w:r>
        <w:t xml:space="preserve">Marine habitat vector data: Environment Agency – Abu Dhabi (EAD).</w:t>
      </w:r>
    </w:p>
    <w:bookmarkEnd w:id="81"/>
    <w:bookmarkEnd w:id="82"/>
    <w:bookmarkStart w:id="87" w:name="limitations"/>
    <w:p>
      <w:pPr>
        <w:pStyle w:val="Heading1"/>
      </w:pPr>
      <w:r>
        <w:t xml:space="preserve">8. Limitations</w:t>
      </w:r>
    </w:p>
    <w:p>
      <w:pPr>
        <w:pStyle w:val="FirstParagraph"/>
      </w:pPr>
      <w:r>
        <w:t xml:space="preserve">Stated as directly and completely as possible, because a transparent</w:t>
      </w:r>
      <w:r>
        <w:t xml:space="preserve"> </w:t>
      </w:r>
      <w:r>
        <w:t xml:space="preserve">limitations section is part of this project’s own design philosophy</w:t>
      </w:r>
      <w:r>
        <w:t xml:space="preserve"> </w:t>
      </w:r>
      <w:r>
        <w:t xml:space="preserve">(Section 1.3) — not a formality.</w:t>
      </w:r>
    </w:p>
    <w:bookmarkStart w:id="83" w:name="data-limitations"/>
    <w:p>
      <w:pPr>
        <w:pStyle w:val="Heading2"/>
      </w:pPr>
      <w:r>
        <w:t xml:space="preserve">8.1 Data limitations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Threat data is partially schematic.</w:t>
      </w:r>
      <w:r>
        <w:t xml:space="preserve"> </w:t>
      </w:r>
      <w:r>
        <w:t xml:space="preserve">Built infrastructure coordinates</w:t>
      </w:r>
      <w:r>
        <w:t xml:space="preserve"> </w:t>
      </w:r>
      <w:r>
        <w:t xml:space="preserve">(e.g. the Mirfa Power &amp; Desalination Plant) are real and verified; the</w:t>
      </w:r>
      <w:r>
        <w:t xml:space="preserve"> </w:t>
      </w:r>
      <w:r>
        <w:t xml:space="preserve">reserve boundary, the dugong-density surface, and navigation routes are</w:t>
      </w:r>
      <w:r>
        <w:t xml:space="preserve"> </w:t>
      </w:r>
      <w:r>
        <w:t xml:space="preserve">documented, labelled approximations pending access to official EAD GIS</w:t>
      </w:r>
      <w:r>
        <w:t xml:space="preserve"> </w:t>
      </w:r>
      <w:r>
        <w:t xml:space="preserve">layers (</w:t>
      </w:r>
      <w:r>
        <w:rPr>
          <w:rStyle w:val="VerbatimChar"/>
        </w:rPr>
        <w:t xml:space="preserve">C_risk_gis/threat_data/SOURCES.md</w:t>
      </w:r>
      <w:r>
        <w:t xml:space="preserve"> </w:t>
      </w:r>
      <w:r>
        <w:t xml:space="preserve">states exactly which is</w:t>
      </w:r>
      <w:r>
        <w:t xml:space="preserve"> </w:t>
      </w:r>
      <w:r>
        <w:t xml:space="preserve">which). Replacing these would sharpen results without changing the model.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real, known gap in the committed training data.</w:t>
      </w:r>
      <w:r>
        <w:t xml:space="preserve"> </w:t>
      </w:r>
      <w:r>
        <w:t xml:space="preserve">During development,</w:t>
      </w:r>
      <w:r>
        <w:t xml:space="preserve"> </w:t>
      </w:r>
      <w:r>
        <w:t xml:space="preserve">a bug was found in the notebook that downloads non-seagrass training</w:t>
      </w:r>
      <w:r>
        <w:t xml:space="preserve"> </w:t>
      </w:r>
      <w:r>
        <w:t xml:space="preserve">polygons from the EAD ArcGIS service: an un-paginated request silently</w:t>
      </w:r>
      <w:r>
        <w:t xml:space="preserve"> </w:t>
      </w:r>
      <w:r>
        <w:t xml:space="preserve">truncated results at the server’s 2,000-record limit, returning only 171</w:t>
      </w:r>
      <w:r>
        <w:t xml:space="preserve"> </w:t>
      </w:r>
      <w:r>
        <w:t xml:space="preserve">of the true 319 non-seagrass polygons that exist within the study area.</w:t>
      </w:r>
      <w:r>
        <w:t xml:space="preserve"> </w:t>
      </w:r>
      <w:r>
        <w:t xml:space="preserve">The download code has been fixed (it now paginates correctly), but the</w:t>
      </w:r>
      <w:r>
        <w:t xml:space="preserve"> </w:t>
      </w:r>
      <w:r>
        <w:t xml:space="preserve">already-committed training file in</w:t>
      </w:r>
      <w:r>
        <w:t xml:space="preserve"> </w:t>
      </w:r>
      <w:r>
        <w:rPr>
          <w:rStyle w:val="VerbatimChar"/>
        </w:rPr>
        <w:t xml:space="preserve">data/training/</w:t>
      </w:r>
      <w:r>
        <w:t xml:space="preserve"> </w:t>
      </w:r>
      <w:r>
        <w:t xml:space="preserve">still reflects the</w:t>
      </w:r>
      <w:r>
        <w:t xml:space="preserve"> </w:t>
      </w:r>
      <w:r>
        <w:t xml:space="preserve">old, truncated 171-polygon set — the classifier results in Section 4.1</w:t>
      </w:r>
      <w:r>
        <w:t xml:space="preserve"> </w:t>
      </w:r>
      <w:r>
        <w:t xml:space="preserve">were trained on this smaller set, not the corrected 319. Re-running the</w:t>
      </w:r>
      <w:r>
        <w:t xml:space="preserve"> </w:t>
      </w:r>
      <w:r>
        <w:t xml:space="preserve">fixed download and retraining is a known, specific next step, not a</w:t>
      </w:r>
      <w:r>
        <w:t xml:space="preserve"> </w:t>
      </w:r>
      <w:r>
        <w:t xml:space="preserve">hidden assumption.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Change detection (2019→2024) depends entirely on classifier accuracy at</w:t>
      </w:r>
      <w:r>
        <w:rPr>
          <w:b/>
          <w:bCs/>
        </w:rPr>
        <w:t xml:space="preserve"> </w:t>
      </w:r>
      <w:r>
        <w:rPr>
          <w:b/>
          <w:bCs/>
        </w:rPr>
        <w:t xml:space="preserve">both time points.</w:t>
      </w:r>
      <w:r>
        <w:t xml:space="preserve"> </w:t>
      </w:r>
      <w:r>
        <w:t xml:space="preserve">Any misclassification is compounded in the</w:t>
      </w:r>
      <w:r>
        <w:t xml:space="preserve"> </w:t>
      </w:r>
      <w:r>
        <w:t xml:space="preserve">“loss”</w:t>
      </w:r>
      <w:r>
        <w:t xml:space="preserve"> </w:t>
      </w:r>
      <w:r>
        <w:t xml:space="preserve">layer, which is also the single most heavily weighted threat factor</w:t>
      </w:r>
      <w:r>
        <w:t xml:space="preserve"> </w:t>
      </w:r>
      <w:r>
        <w:t xml:space="preserve">(0.30). Hotspots whose dominant threat is</w:t>
      </w:r>
      <w:r>
        <w:t xml:space="preserve"> </w:t>
      </w:r>
      <w:r>
        <w:t xml:space="preserve">“loss”</w:t>
      </w:r>
      <w:r>
        <w:t xml:space="preserve"> </w:t>
      </w:r>
      <w:r>
        <w:t xml:space="preserve">specifically should be</w:t>
      </w:r>
      <w:r>
        <w:t xml:space="preserve"> </w:t>
      </w:r>
      <w:r>
        <w:t xml:space="preserve">read alongside the accuracy figures in Section 4.1, not treated as</w:t>
      </w:r>
      <w:r>
        <w:t xml:space="preserve"> </w:t>
      </w:r>
      <w:r>
        <w:t xml:space="preserve">independently verified change.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Thermal stress uses a single seasonal snapshot</w:t>
      </w:r>
      <w:r>
        <w:t xml:space="preserve"> </w:t>
      </w:r>
      <w:r>
        <w:t xml:space="preserve">(summer 2020–2024</w:t>
      </w:r>
      <w:r>
        <w:t xml:space="preserve"> </w:t>
      </w:r>
      <w:r>
        <w:t xml:space="preserve">median), not a multi-year heatwave-frequency climatology — it captures</w:t>
      </w:r>
      <w:r>
        <w:t xml:space="preserve"> </w:t>
      </w:r>
      <w:r>
        <w:t xml:space="preserve">typical thermal stress, not trend or frequency of extreme events.</w:t>
      </w:r>
    </w:p>
    <w:bookmarkEnd w:id="83"/>
    <w:bookmarkStart w:id="84" w:name="model-limitations"/>
    <w:p>
      <w:pPr>
        <w:pStyle w:val="Heading2"/>
      </w:pPr>
      <w:r>
        <w:t xml:space="preserve">8.2 Model limitations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risk index is relative, not absolute.</w:t>
      </w:r>
      <w:r>
        <w:t xml:space="preserve"> </w:t>
      </w:r>
      <w:r>
        <w:t xml:space="preserve">It ranks locations within</w:t>
      </w:r>
      <w:r>
        <w:t xml:space="preserve"> </w:t>
      </w:r>
      <w:r>
        <w:t xml:space="preserve">this study area against each other; it is not a calibrated probability of</w:t>
      </w:r>
      <w:r>
        <w:t xml:space="preserve"> </w:t>
      </w:r>
      <w:r>
        <w:t xml:space="preserve">habitat loss and should not be read as one.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Weights are documented parameters, not ground truth.</w:t>
      </w:r>
      <w:r>
        <w:t xml:space="preserve"> </w:t>
      </w:r>
      <w:r>
        <w:t xml:space="preserve">Every weight in</w:t>
      </w:r>
      <w:r>
        <w:t xml:space="preserve"> </w:t>
      </w:r>
      <w:r>
        <w:t xml:space="preserve">the threat model is justified against a specific literature source or</w:t>
      </w:r>
      <w:r>
        <w:t xml:space="preserve"> </w:t>
      </w:r>
      <w:r>
        <w:t xml:space="preserve">regional data point (Section 3.3,</w:t>
      </w:r>
      <w:r>
        <w:t xml:space="preserve"> </w:t>
      </w:r>
      <w:r>
        <w:rPr>
          <w:rStyle w:val="VerbatimChar"/>
        </w:rPr>
        <w:t xml:space="preserve">RISK_METHODOLOGY.md</w:t>
      </w:r>
      <w:r>
        <w:t xml:space="preserve"> </w:t>
      </w:r>
      <w:r>
        <w:t xml:space="preserve">Section 3), and</w:t>
      </w:r>
      <w:r>
        <w:t xml:space="preserve"> </w:t>
      </w:r>
      <w:r>
        <w:t xml:space="preserve">the sensitivity analysis (Section 4.4) shows the ranked output is robust</w:t>
      </w:r>
      <w:r>
        <w:t xml:space="preserve"> </w:t>
      </w:r>
      <w:r>
        <w:t xml:space="preserve">to ±10% changes — but a different, equally defensible weighting scheme</w:t>
      </w:r>
      <w:r>
        <w:t xml:space="preserve"> </w:t>
      </w:r>
      <w:r>
        <w:t xml:space="preserve">could be argued for, and would produce a somewhat different ranking.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field validation of specific hotspots.</w:t>
      </w:r>
      <w:r>
        <w:t xml:space="preserve"> </w:t>
      </w:r>
      <w:r>
        <w:t xml:space="preserve">The model’s internal</w:t>
      </w:r>
      <w:r>
        <w:t xml:space="preserve"> </w:t>
      </w:r>
      <w:r>
        <w:t xml:space="preserve">validation (face validity, zonal comparison, weight sensitivity — Section</w:t>
      </w:r>
      <w:r>
        <w:t xml:space="preserve"> </w:t>
      </w:r>
      <w:r>
        <w:t xml:space="preserve">4.3–4.4) demonstrates the method behaves sensibly; it does not confirm</w:t>
      </w:r>
      <w:r>
        <w:t xml:space="preserve"> </w:t>
      </w:r>
      <w:r>
        <w:t xml:space="preserve">that any individual ranked hotspot’s on-the-ground habitat condition</w:t>
      </w:r>
      <w:r>
        <w:t xml:space="preserve"> </w:t>
      </w:r>
      <w:r>
        <w:t xml:space="preserve">matches the model’s prediction. That would require an actual site visit</w:t>
      </w:r>
      <w:r>
        <w:t xml:space="preserve"> </w:t>
      </w:r>
      <w:r>
        <w:t xml:space="preserve">or comparison against independent recent survey data, which was outside</w:t>
      </w:r>
      <w:r>
        <w:t xml:space="preserve"> </w:t>
      </w:r>
      <w:r>
        <w:t xml:space="preserve">this project’s scope and timeline.</w:t>
      </w:r>
    </w:p>
    <w:bookmarkEnd w:id="84"/>
    <w:bookmarkStart w:id="85" w:name="engineering-reproducibility-limitations"/>
    <w:p>
      <w:pPr>
        <w:pStyle w:val="Heading2"/>
      </w:pPr>
      <w:r>
        <w:t xml:space="preserve">8.3 Engineering / reproducibility limitations</w:t>
      </w:r>
    </w:p>
    <w:p>
      <w:pPr>
        <w:pStyle w:val="FirstParagraph"/>
      </w:pPr>
      <w:r>
        <w:t xml:space="preserve">Documented here because they affect anyone trying to reproduce or extend</w:t>
      </w:r>
      <w:r>
        <w:t xml:space="preserve"> </w:t>
      </w:r>
      <w:r>
        <w:t xml:space="preserve">this work, and because finding and fixing them was itself part of this</w:t>
      </w:r>
      <w:r>
        <w:t xml:space="preserve"> </w:t>
      </w:r>
      <w:r>
        <w:t xml:space="preserve">project’s process: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Earth Engine’s interactive request timeout (~5 minutes) limits how the</w:t>
      </w:r>
      <w:r>
        <w:rPr>
          <w:b/>
          <w:bCs/>
        </w:rPr>
        <w:t xml:space="preserve"> </w:t>
      </w:r>
      <w:r>
        <w:rPr>
          <w:b/>
          <w:bCs/>
        </w:rPr>
        <w:t xml:space="preserve">pipeline can be queried directly.</w:t>
      </w:r>
      <w:r>
        <w:t xml:space="preserve"> </w:t>
      </w:r>
      <w:r>
        <w:t xml:space="preserve">Because nothing in the risk pipeline</w:t>
      </w:r>
      <w:r>
        <w:t xml:space="preserve"> </w:t>
      </w:r>
      <w:r>
        <w:t xml:space="preserve">is cached, requesting results interactively re-derives the entire chain</w:t>
      </w:r>
      <w:r>
        <w:t xml:space="preserve"> </w:t>
      </w:r>
      <w:r>
        <w:t xml:space="preserve">from raw satellite imagery every time, which can exceed this limit for</w:t>
      </w:r>
      <w:r>
        <w:t xml:space="preserve"> </w:t>
      </w:r>
      <w:r>
        <w:t xml:space="preserve">computationally heavy steps (hotspot vectorization). The current</w:t>
      </w:r>
      <w:r>
        <w:t xml:space="preserve"> </w:t>
      </w:r>
      <w:r>
        <w:t xml:space="preserve">implementation works around this by exporting a cached intermediate</w:t>
      </w:r>
      <w:r>
        <w:t xml:space="preserve"> </w:t>
      </w:r>
      <w:r>
        <w:t xml:space="preserve">Earth Engine Asset once (a real batch export, with no interactive</w:t>
      </w:r>
      <w:r>
        <w:t xml:space="preserve"> </w:t>
      </w:r>
      <w:r>
        <w:t xml:space="preserve">timeout) and reading from that for all downstream analysis — but this</w:t>
      </w:r>
      <w:r>
        <w:t xml:space="preserve"> </w:t>
      </w:r>
      <w:r>
        <w:t xml:space="preserve">means the very first run of the pipeline after any methodology change</w:t>
      </w:r>
      <w:r>
        <w:t xml:space="preserve"> </w:t>
      </w:r>
      <w:r>
        <w:t xml:space="preserve">requires a several-minute wait for that export to complete, which is easy</w:t>
      </w:r>
      <w:r>
        <w:t xml:space="preserve"> </w:t>
      </w:r>
      <w:r>
        <w:t xml:space="preserve">to mistake for a hang.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interactive dashboard’s map tiles depend on Earth Engine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getMapId()</w:t>
      </w:r>
      <w:r>
        <w:rPr>
          <w:b/>
          <w:bCs/>
        </w:rPr>
        <w:t xml:space="preserve"> </w:t>
      </w:r>
      <w:r>
        <w:rPr>
          <w:b/>
          <w:bCs/>
        </w:rPr>
        <w:t xml:space="preserve">tokens, which are not permanent.</w:t>
      </w:r>
      <w:r>
        <w:t xml:space="preserve"> </w:t>
      </w:r>
      <w:r>
        <w:t xml:space="preserve">If the dashboard’s map</w:t>
      </w:r>
      <w:r>
        <w:t xml:space="preserve"> </w:t>
      </w:r>
      <w:r>
        <w:t xml:space="preserve">layers stop loading, the tokens need regenerating — instructions are in</w:t>
      </w:r>
      <w:r>
        <w:t xml:space="preserve"> </w:t>
      </w:r>
      <w:r>
        <w:rPr>
          <w:rStyle w:val="VerbatimChar"/>
        </w:rPr>
        <w:t xml:space="preserve">D_dashboard/README.md</w:t>
      </w:r>
      <w:r>
        <w:t xml:space="preserve">. A production deployment should export static map</w:t>
      </w:r>
      <w:r>
        <w:t xml:space="preserve"> </w:t>
      </w:r>
      <w:r>
        <w:t xml:space="preserve">tiles or use a proper Earth Engine App instead.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interactive dashboard prototype was built and tested by the team,</w:t>
      </w:r>
      <w:r>
        <w:rPr>
          <w:b/>
          <w:bCs/>
        </w:rPr>
        <w:t xml:space="preserve"> </w:t>
      </w:r>
      <w:r>
        <w:rPr>
          <w:b/>
          <w:bCs/>
        </w:rPr>
        <w:t xml:space="preserve">not commissioned by, or reviewed with, the agencies who would actually</w:t>
      </w:r>
      <w:r>
        <w:rPr>
          <w:b/>
          <w:bCs/>
        </w:rPr>
        <w:t xml:space="preserve"> </w:t>
      </w:r>
      <w:r>
        <w:rPr>
          <w:b/>
          <w:bCs/>
        </w:rPr>
        <w:t xml:space="preserve">use it.</w:t>
      </w:r>
      <w:r>
        <w:t xml:space="preserve"> </w:t>
      </w:r>
      <w:r>
        <w:t xml:space="preserve">Whether its specific layer choices, popups, and framing are</w:t>
      </w:r>
      <w:r>
        <w:t xml:space="preserve"> </w:t>
      </w:r>
      <w:r>
        <w:t xml:space="preserve">“actionable”</w:t>
      </w:r>
      <w:r>
        <w:t xml:space="preserve"> </w:t>
      </w:r>
      <w:r>
        <w:t xml:space="preserve">in a real regulatory or field context is untested (see</w:t>
      </w:r>
      <w:r>
        <w:t xml:space="preserve"> </w:t>
      </w:r>
      <w:r>
        <w:t xml:space="preserve">Section 5.3).</w:t>
      </w:r>
    </w:p>
    <w:bookmarkEnd w:id="85"/>
    <w:bookmarkStart w:id="86" w:name="what-is-genuinely-not-yet-done"/>
    <w:p>
      <w:pPr>
        <w:pStyle w:val="Heading2"/>
      </w:pPr>
      <w:r>
        <w:t xml:space="preserve">8.4 What is genuinely not yet done</w:t>
      </w:r>
    </w:p>
    <w:p>
      <w:pPr>
        <w:pStyle w:val="FirstParagraph"/>
      </w:pPr>
      <w:r>
        <w:t xml:space="preserve">For full transparency: the seagrass-change map (before/after 2019 vs. 2024</w:t>
      </w:r>
      <w:r>
        <w:t xml:space="preserve"> </w:t>
      </w:r>
      <w:r>
        <w:t xml:space="preserve">seagrass extent, visualised as a standalone figure) and a plain static</w:t>
      </w:r>
      <w:r>
        <w:t xml:space="preserve"> </w:t>
      </w:r>
      <w:r>
        <w:t xml:space="preserve">export of the risk map itself are listed as still-open items in</w:t>
      </w:r>
      <w:r>
        <w:t xml:space="preserve"> </w:t>
      </w:r>
      <w:r>
        <w:rPr>
          <w:rStyle w:val="VerbatimChar"/>
        </w:rPr>
        <w:t xml:space="preserve">D_dashboard/figures/README.md</w:t>
      </w:r>
      <w:r>
        <w:t xml:space="preserve"> </w:t>
      </w:r>
      <w:r>
        <w:t xml:space="preserve">at the time of writing. A short</w:t>
      </w:r>
      <w:r>
        <w:t xml:space="preserve"> </w:t>
      </w:r>
      <w:r>
        <w:t xml:space="preserve">demonstration video (optional per the competition’s own application</w:t>
      </w:r>
      <w:r>
        <w:t xml:space="preserve"> </w:t>
      </w:r>
      <w:r>
        <w:t xml:space="preserve">materials) has not been produced. These are not concealed — they are</w:t>
      </w:r>
      <w:r>
        <w:t xml:space="preserve"> </w:t>
      </w:r>
      <w:r>
        <w:t xml:space="preserve">tracked openly in the repository’s own documentation.</w:t>
      </w:r>
    </w:p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26" Target="media/rId26.png" /><Relationship Type="http://schemas.openxmlformats.org/officeDocument/2006/relationships/image" Id="rId57" Target="media/rId57.png" /><Relationship Type="http://schemas.openxmlformats.org/officeDocument/2006/relationships/image" Id="rId65" Target="media/rId65.png" /><Relationship Type="http://schemas.openxmlformats.org/officeDocument/2006/relationships/image" Id="rId60" Target="media/rId60.png" /><Relationship Type="http://schemas.openxmlformats.org/officeDocument/2006/relationships/image" Id="rId12" Target="media/rId12.png" /><Relationship Type="http://schemas.openxmlformats.org/officeDocument/2006/relationships/image" Id="rId23" Target="media/rId23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Dugong Watch</dc:title>
  <dc:creator/>
  <cp:keywords/>
  <dcterms:created xsi:type="dcterms:W3CDTF">2026-07-31T04:39:38Z</dcterms:created>
  <dcterms:modified xsi:type="dcterms:W3CDTF">2026-07-31T04:39:38Z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