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8.png" ContentType="image/png"/>
  <Override PartName="/word/media/rId54.png" ContentType="image/png"/>
  <Override PartName="/word/media/rId27.png" ContentType="image/png"/>
  <Override PartName="/word/media/rId58.png" ContentType="image/png"/>
  <Override PartName="/word/media/rId66.png" ContentType="image/png"/>
  <Override PartName="/word/media/rId61.png" ContentType="image/png"/>
  <Override PartName="/word/media/rId13.png" ContentType="image/png"/>
  <Override PartName="/word/media/rId24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Dugong Watch</w:t>
      </w:r>
    </w:p>
    <w:p>
      <w:pPr>
        <w:pStyle w:val="FirstParagraph"/>
      </w:pPr>
      <w:r>
        <w:t xml:space="preserve">Seagrass Habitat Risk Mapping for Dugong Conservation</w:t>
      </w:r>
    </w:p>
    <w:p>
      <w:pPr>
        <w:pStyle w:val="BodyText"/>
      </w:pPr>
      <w:r>
        <w:t xml:space="preserve">Marawah / Bu Tinah Marine Biosphere Reserve — Abu Dhabi, UAE</w:t>
      </w:r>
    </w:p>
    <w:p>
      <w:pPr>
        <w:pStyle w:val="BodyText"/>
      </w:pPr>
      <w:r>
        <w:t xml:space="preserve">Prototypes for Humanity 2026 — Submission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p>
      <w:pPr>
        <w:pStyle w:val="Compact"/>
        <w:numPr>
          <w:ilvl w:val="0"/>
          <w:numId w:val="1002"/>
        </w:numPr>
      </w:pPr>
      <w:r>
        <w:t xml:space="preserve">Introduction &amp; Problem Statement</w:t>
      </w:r>
    </w:p>
    <w:p>
      <w:pPr>
        <w:pStyle w:val="Compact"/>
        <w:numPr>
          <w:ilvl w:val="0"/>
          <w:numId w:val="1002"/>
        </w:numPr>
      </w:pPr>
      <w:r>
        <w:t xml:space="preserve">Literature Review</w:t>
      </w:r>
    </w:p>
    <w:p>
      <w:pPr>
        <w:pStyle w:val="Compact"/>
        <w:numPr>
          <w:ilvl w:val="0"/>
          <w:numId w:val="1002"/>
        </w:numPr>
      </w:pPr>
      <w:r>
        <w:t xml:space="preserve">Methodology</w:t>
      </w:r>
    </w:p>
    <w:p>
      <w:pPr>
        <w:pStyle w:val="Compact"/>
        <w:numPr>
          <w:ilvl w:val="0"/>
          <w:numId w:val="1002"/>
        </w:numPr>
      </w:pPr>
      <w:r>
        <w:t xml:space="preserve">Results</w:t>
      </w:r>
    </w:p>
    <w:p>
      <w:pPr>
        <w:pStyle w:val="Compact"/>
        <w:numPr>
          <w:ilvl w:val="0"/>
          <w:numId w:val="1002"/>
        </w:numPr>
      </w:pPr>
      <w:r>
        <w:t xml:space="preserve">Impact</w:t>
      </w:r>
    </w:p>
    <w:p>
      <w:pPr>
        <w:pStyle w:val="Compact"/>
        <w:numPr>
          <w:ilvl w:val="0"/>
          <w:numId w:val="1002"/>
        </w:numPr>
      </w:pPr>
      <w:r>
        <w:t xml:space="preserve">Limitations</w:t>
      </w:r>
    </w:p>
    <w:p>
      <w:pPr>
        <w:pStyle w:val="Compact"/>
        <w:numPr>
          <w:ilvl w:val="0"/>
          <w:numId w:val="1002"/>
        </w:numPr>
      </w:pPr>
      <w:r>
        <w:t xml:space="preserve">References</w:t>
      </w:r>
    </w:p>
    <w:bookmarkEnd w:id="9"/>
    <w:bookmarkStart w:id="1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A dugong can live for seventy years and spend almost all of them grazing</w:t>
      </w:r>
      <w:r>
        <w:t xml:space="preserve"> </w:t>
      </w:r>
      <w:r>
        <w:t xml:space="preserve">seagrass in shallow water. The Arabian Gulf holds the world’s second-largest</w:t>
      </w:r>
      <w:r>
        <w:t xml:space="preserve"> </w:t>
      </w:r>
      <w:r>
        <w:t xml:space="preserve">dugong population (~3,000–3,500), concentrated in Abu Dhabi’s UNESCO-designated</w:t>
      </w:r>
      <w:r>
        <w:t xml:space="preserve"> </w:t>
      </w:r>
      <w:r>
        <w:t xml:space="preserve">Marawah / Bu Tinah reserve — yet the seagrass they depend on is under pressure</w:t>
      </w:r>
      <w:r>
        <w:t xml:space="preserve"> </w:t>
      </w:r>
      <w:r>
        <w:t xml:space="preserve">from coastal development, dredging, desalination discharge, marine heat, and</w:t>
      </w:r>
      <w:r>
        <w:t xml:space="preserve"> </w:t>
      </w:r>
      <w:r>
        <w:t xml:space="preserve">vessel traffic.</w:t>
      </w:r>
    </w:p>
    <w:p>
      <w:pPr>
        <w:pStyle w:val="BodyText"/>
      </w:pPr>
      <w:r>
        <w:rPr>
          <w:b/>
          <w:bCs/>
        </w:rPr>
        <w:t xml:space="preserve">Dugong Watch</w:t>
      </w:r>
      <w:r>
        <w:t xml:space="preserve"> </w:t>
      </w:r>
      <w:r>
        <w:t xml:space="preserve">answers a question conservation planners currently cannot: not</w:t>
      </w:r>
      <w:r>
        <w:t xml:space="preserve"> </w:t>
      </w:r>
      <w:r>
        <w:t xml:space="preserve">“where is there seagrass,”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where is seagrass both present and under enough</w:t>
      </w:r>
      <w:r>
        <w:rPr>
          <w:i/>
          <w:iCs/>
        </w:rPr>
        <w:t xml:space="preserve"> </w:t>
      </w:r>
      <w:r>
        <w:rPr>
          <w:i/>
          <w:iCs/>
        </w:rPr>
        <w:t xml:space="preserve">pressure that its loss would matter for dugongs</w:t>
      </w:r>
      <w:r>
        <w:t xml:space="preserve"> </w:t>
      </w:r>
      <w:r>
        <w:t xml:space="preserve">— so limited protection</w:t>
      </w:r>
      <w:r>
        <w:t xml:space="preserve"> </w:t>
      </w:r>
      <w:r>
        <w:t xml:space="preserve">resources can be aimed first. It is an end-to-end, open pipeline built on free</w:t>
      </w:r>
      <w:r>
        <w:t xml:space="preserve"> </w:t>
      </w:r>
      <w:r>
        <w:t xml:space="preserve">satellite data: a Random Forest classifier maps seagrass from Sentinel-2 at</w:t>
      </w:r>
      <w:r>
        <w:t xml:space="preserve"> </w:t>
      </w:r>
      <w:r>
        <w:rPr>
          <w:b/>
          <w:bCs/>
        </w:rPr>
        <w:t xml:space="preserve">85.3% accuracy</w:t>
      </w:r>
      <w:r>
        <w:t xml:space="preserve">, change is detected between 2019 and 2024, and habitat value</w:t>
      </w:r>
      <w:r>
        <w:t xml:space="preserve"> </w:t>
      </w:r>
      <w:r>
        <w:t xml:space="preserve">is combined with five weighted threat factors into one risk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Risk = Value × Threat</w:t>
      </w:r>
      <w:r>
        <w:t xml:space="preserve">), yielding</w:t>
      </w:r>
      <w:r>
        <w:t xml:space="preserve"> </w:t>
      </w:r>
      <w:r>
        <w:rPr>
          <w:b/>
          <w:bCs/>
        </w:rPr>
        <w:t xml:space="preserve">105 ranked hotspots</w:t>
      </w:r>
      <w:r>
        <w:t xml:space="preserve"> </w:t>
      </w:r>
      <w:r>
        <w:t xml:space="preserve">delivered through an</w:t>
      </w:r>
      <w:r>
        <w:t xml:space="preserve"> </w:t>
      </w:r>
      <w:r>
        <w:t xml:space="preserve">interactive dashboard.</w:t>
      </w:r>
    </w:p>
    <w:p>
      <w:pPr>
        <w:pStyle w:val="BodyText"/>
      </w:pPr>
      <w:r>
        <w:t xml:space="preserve">The output is validated three ways: risk falls with distance from real pressure,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3× higher inside the documented dugong core</w:t>
      </w:r>
      <w:r>
        <w:t xml:space="preserve"> </w:t>
      </w:r>
      <w:r>
        <w:t xml:space="preserve">than reserve-wide, and shifts</w:t>
      </w:r>
      <w:r>
        <w:t xml:space="preserve"> </w:t>
      </w:r>
      <w:r>
        <w:t xml:space="preserve">by ≤3% when any weight is perturbed ±10%. Every input is free and public and</w:t>
      </w:r>
      <w:r>
        <w:t xml:space="preserve"> </w:t>
      </w:r>
      <w:r>
        <w:t xml:space="preserve">every step is code, so it re-runs at near-zero cost as new imagery arrives — and</w:t>
      </w:r>
      <w:r>
        <w:t xml:space="preserve"> </w:t>
      </w:r>
      <w:r>
        <w:t xml:space="preserve">the same structure transfers to other satellite-visible, single-species habitats</w:t>
      </w:r>
      <w:r>
        <w:t xml:space="preserve"> </w:t>
      </w:r>
      <w:r>
        <w:t xml:space="preserve">worldwide.</w:t>
      </w:r>
    </w:p>
    <w:bookmarkEnd w:id="10"/>
    <w:bookmarkStart w:id="18" w:name="introduction-problem-statement"/>
    <w:p>
      <w:pPr>
        <w:pStyle w:val="Heading1"/>
      </w:pPr>
      <w:r>
        <w:t xml:space="preserve">1. Introduction &amp; Problem Statement</w:t>
      </w:r>
    </w:p>
    <w:bookmarkStart w:id="11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dugong (</w:t>
      </w:r>
      <w:r>
        <w:rPr>
          <w:i/>
          <w:iCs/>
        </w:rPr>
        <w:t xml:space="preserve">Dugong dugon</w:t>
      </w:r>
      <w:r>
        <w:t xml:space="preserve">) feeds almost exclusively on seagrass: protect the</w:t>
      </w:r>
      <w:r>
        <w:t xml:space="preserve"> </w:t>
      </w:r>
      <w:r>
        <w:t xml:space="preserve">meadows and you protect the animal; lose them and it has nowhere left to feed.</w:t>
      </w:r>
      <w:r>
        <w:t xml:space="preserve"> </w:t>
      </w:r>
      <w:r>
        <w:t xml:space="preserve">The Arabian Gulf population, centred on Abu Dhabi, is the world’s second-largest</w:t>
      </w:r>
      <w:r>
        <w:t xml:space="preserve"> </w:t>
      </w:r>
      <w:r>
        <w:t xml:space="preserve">after Australia’s (~3,000–3,500 individuals), and the Marawah Marine Biosphere</w:t>
      </w:r>
      <w:r>
        <w:t xml:space="preserve"> </w:t>
      </w:r>
      <w:r>
        <w:t xml:space="preserve">Reserve holds its highest concentration.</w:t>
      </w:r>
    </w:p>
    <w:p>
      <w:pPr>
        <w:pStyle w:val="BodyText"/>
      </w:pPr>
      <w:r>
        <w:t xml:space="preserve">That seagrass is under measurable pressure: coastal development and dredging,</w:t>
      </w:r>
      <w:r>
        <w:t xml:space="preserve"> </w:t>
      </w:r>
      <w:r>
        <w:t xml:space="preserve">desalination and industrial discharge, marine heatwaves in one of the hottest</w:t>
      </w:r>
      <w:r>
        <w:t xml:space="preserve"> </w:t>
      </w:r>
      <w:r>
        <w:t xml:space="preserve">seas on Earth, and vessel traffic in the shallow (&lt;5 m) waters where dugongs</w:t>
      </w:r>
      <w:r>
        <w:t xml:space="preserve"> </w:t>
      </w:r>
      <w:r>
        <w:t xml:space="preserve">feed. Planning in the region therefore needs a specific answer — not</w:t>
      </w:r>
      <w:r>
        <w:t xml:space="preserve"> </w:t>
      </w:r>
      <w:r>
        <w:t xml:space="preserve">“where is</w:t>
      </w:r>
      <w:r>
        <w:t xml:space="preserve"> </w:t>
      </w:r>
      <w:r>
        <w:t xml:space="preserve">there seagrass,”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where is seagrass both present and under enough pressure</w:t>
      </w:r>
      <w:r>
        <w:rPr>
          <w:b/>
          <w:bCs/>
        </w:rPr>
        <w:t xml:space="preserve"> </w:t>
      </w:r>
      <w:r>
        <w:rPr>
          <w:b/>
          <w:bCs/>
        </w:rPr>
        <w:t xml:space="preserve">that its loss would matter for dugong survival</w:t>
      </w:r>
      <w:r>
        <w:t xml:space="preserve">.</w:t>
      </w:r>
    </w:p>
    <w:bookmarkEnd w:id="11"/>
    <w:bookmarkStart w:id="12" w:name="problem-statement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Answering that means combining three things rarely brought together: habitat</w:t>
      </w:r>
      <w:r>
        <w:t xml:space="preserve"> </w:t>
      </w:r>
      <w:r>
        <w:t xml:space="preserve">maps (where seagrass is), habitat change (whether it is being lost), and threat</w:t>
      </w:r>
      <w:r>
        <w:t xml:space="preserve"> </w:t>
      </w:r>
      <w:r>
        <w:t xml:space="preserve">data (what pressures act where). Habitat surveys are episodic and expensive;</w:t>
      </w:r>
      <w:r>
        <w:t xml:space="preserve"> </w:t>
      </w:r>
      <w:r>
        <w:t xml:space="preserve">threat data is scattered and non-standardised; and there is no publicly</w:t>
      </w:r>
      <w:r>
        <w:t xml:space="preserve"> </w:t>
      </w:r>
      <w:r>
        <w:t xml:space="preserve">available, reproducible model that fuses these into a ranked map of</w:t>
      </w:r>
      <w:r>
        <w:t xml:space="preserve"> </w:t>
      </w:r>
      <w:r>
        <w:rPr>
          <w:i/>
          <w:iCs/>
        </w:rPr>
        <w:t xml:space="preserve">risk to</w:t>
      </w:r>
      <w:r>
        <w:rPr>
          <w:i/>
          <w:iCs/>
        </w:rPr>
        <w:t xml:space="preserve"> </w:t>
      </w:r>
      <w:r>
        <w:rPr>
          <w:i/>
          <w:iCs/>
        </w:rPr>
        <w:t xml:space="preserve">dugong habitat specifically</w:t>
      </w:r>
      <w:r>
        <w:t xml:space="preserve"> </w:t>
      </w:r>
      <w:r>
        <w:t xml:space="preserve">— as opposed to generic seagrass extent maps or</w:t>
      </w:r>
      <w:r>
        <w:t xml:space="preserve"> </w:t>
      </w:r>
      <w:r>
        <w:t xml:space="preserve">generic risk indices not conditioned on dugong presence. What planners actually</w:t>
      </w:r>
      <w:r>
        <w:t xml:space="preserve"> </w:t>
      </w:r>
      <w:r>
        <w:t xml:space="preserve">need is a transparent, updatable answer to</w:t>
      </w:r>
      <w:r>
        <w:t xml:space="preserve"> </w:t>
      </w:r>
      <w:r>
        <w:t xml:space="preserve">“if we can only act in a few places,</w:t>
      </w:r>
      <w:r>
        <w:t xml:space="preserve"> </w:t>
      </w:r>
      <w:r>
        <w:t xml:space="preserve">where first?”</w:t>
      </w:r>
    </w:p>
    <w:bookmarkEnd w:id="12"/>
    <w:bookmarkStart w:id="16" w:name="project-objective"/>
    <w:p>
      <w:pPr>
        <w:pStyle w:val="Heading2"/>
      </w:pPr>
      <w:r>
        <w:t xml:space="preserve">1.3 Project objective</w:t>
      </w:r>
    </w:p>
    <w:p>
      <w:pPr>
        <w:pStyle w:val="FirstParagraph"/>
      </w:pPr>
      <w:r>
        <w:rPr>
          <w:b/>
          <w:bCs/>
        </w:rPr>
        <w:t xml:space="preserve">Dugong Watch</w:t>
      </w:r>
      <w:r>
        <w:t xml:space="preserve"> </w:t>
      </w:r>
      <w:r>
        <w:t xml:space="preserve">is an end-to-end, reproducible pipeline that (1) classifies</w:t>
      </w:r>
      <w:r>
        <w:t xml:space="preserve"> </w:t>
      </w:r>
      <w:r>
        <w:t xml:space="preserve">seagrass from free Sentinel-2 imagery with a model trained and validated on</w:t>
      </w:r>
      <w:r>
        <w:t xml:space="preserve"> </w:t>
      </w:r>
      <w:r>
        <w:t xml:space="preserve">official EAD habitat surveys; (2) detects seagrass change between two periods;</w:t>
      </w:r>
      <w:r>
        <w:t xml:space="preserve"> </w:t>
      </w:r>
      <w:r>
        <w:t xml:space="preserve">(3) combines habitat with five geographically specific threat factors — observed</w:t>
      </w:r>
      <w:r>
        <w:t xml:space="preserve"> </w:t>
      </w:r>
      <w:r>
        <w:t xml:space="preserve">loss, coastal development, thermal stress, desalination discharge, and vessel</w:t>
      </w:r>
      <w:r>
        <w:t xml:space="preserve"> </w:t>
      </w:r>
      <w:r>
        <w:t xml:space="preserve">pressure — into one weighted, explicitly justified risk index; and (4) surfaces</w:t>
      </w:r>
      <w:r>
        <w:t xml:space="preserve"> </w:t>
      </w:r>
      <w:r>
        <w:t xml:space="preserve">the result as a ranked, interactive map, alongside the code and data so every</w:t>
      </w:r>
      <w:r>
        <w:t xml:space="preserve"> </w:t>
      </w:r>
      <w:r>
        <w:t xml:space="preserve">step can be audited or reproduced.</w:t>
      </w:r>
    </w:p>
    <w:p>
      <w:pPr>
        <w:pStyle w:val="BodyText"/>
      </w:pPr>
      <w:r>
        <w:t xml:space="preserve">The guiding principle is</w:t>
      </w:r>
      <w:r>
        <w:t xml:space="preserve"> </w:t>
      </w:r>
      <w:r>
        <w:rPr>
          <w:b/>
          <w:bCs/>
        </w:rPr>
        <w:t xml:space="preserve">transparency over sophistication</w:t>
      </w:r>
      <w:r>
        <w:t xml:space="preserve">: every weight is a</w:t>
      </w:r>
      <w:r>
        <w:t xml:space="preserve"> </w:t>
      </w:r>
      <w:r>
        <w:t xml:space="preserve">documented parameter, every threat layer’s provenance is labelled, and the</w:t>
      </w:r>
      <w:r>
        <w:t xml:space="preserve"> </w:t>
      </w:r>
      <w:r>
        <w:t xml:space="preserve">model’s sensitivity to its assumptions is tested, not assumed.</w:t>
      </w:r>
    </w:p>
    <w:p>
      <w:pPr>
        <w:pStyle w:val="CaptionedFigure"/>
      </w:pPr>
      <w:r>
        <w:drawing>
          <wp:inline>
            <wp:extent cx="5334000" cy="1189108"/>
            <wp:effectExtent b="0" l="0" r="0" t="0"/>
            <wp:docPr descr="System architecture: free satellite imagery and official survey data flow through Google Earth Engine into a machine-learning classifier and a weighted risk model, producing a ranked, auditable output delivered as an interactive dashboard and report." title="" id="14" name="Picture"/>
            <a:graphic>
              <a:graphicData uri="http://schemas.openxmlformats.org/drawingml/2006/picture">
                <pic:pic>
                  <pic:nvPicPr>
                    <pic:cNvPr descr="../diagrams/1_system_architec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architecture: free satellite imagery and official survey data flow through Google Earth Engine into a machine-learning classifier and a weighted risk model, producing a ranked, auditable output delivered as an interactive dashboard and report.</w:t>
      </w:r>
    </w:p>
    <w:bookmarkEnd w:id="16"/>
    <w:bookmarkStart w:id="17" w:name="scope"/>
    <w:p>
      <w:pPr>
        <w:pStyle w:val="Heading2"/>
      </w:pPr>
      <w:r>
        <w:t xml:space="preserve">1.4 Scope</w:t>
      </w:r>
    </w:p>
    <w:p>
      <w:pPr>
        <w:pStyle w:val="FirstParagraph"/>
      </w:pPr>
      <w:r>
        <w:t xml:space="preserve">The project covers the Marawah / Bu Tinah region of the Arabian Gulf, comparing</w:t>
      </w:r>
      <w:r>
        <w:t xml:space="preserve"> </w:t>
      </w:r>
      <w:r>
        <w:t xml:space="preserve">2019 and 2024 (the best cloud-free Sentinel-2 coverage). Classification is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1 = seagrass</w:t>
      </w:r>
      <w:r>
        <w:t xml:space="preserve">,</w:t>
      </w:r>
      <w:r>
        <w:t xml:space="preserve"> </w:t>
      </w:r>
      <w:r>
        <w:rPr>
          <w:rStyle w:val="VerbatimChar"/>
        </w:rPr>
        <w:t xml:space="preserve">0 = non-seagrass</w:t>
      </w:r>
      <w:r>
        <w:t xml:space="preserve">), matching the EAD training data. The</w:t>
      </w:r>
      <w:r>
        <w:t xml:space="preserve"> </w:t>
      </w:r>
      <w:r>
        <w:t xml:space="preserve">risk index is explicitly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it ranks locations within the study area</w:t>
      </w:r>
      <w:r>
        <w:t xml:space="preserve"> </w:t>
      </w:r>
      <w:r>
        <w:t xml:space="preserve">against each other, not against an absolute probability of habitat loss.</w:t>
      </w:r>
    </w:p>
    <w:bookmarkEnd w:id="17"/>
    <w:bookmarkEnd w:id="18"/>
    <w:bookmarkStart w:id="23" w:name="literature-review"/>
    <w:p>
      <w:pPr>
        <w:pStyle w:val="Heading1"/>
      </w:pPr>
      <w:r>
        <w:t xml:space="preserve">2. Literature Review</w:t>
      </w:r>
    </w:p>
    <w:bookmarkStart w:id="19" w:name="dugong-ecology-and-regional-context"/>
    <w:p>
      <w:pPr>
        <w:pStyle w:val="Heading2"/>
      </w:pPr>
      <w:r>
        <w:t xml:space="preserve">2.1 Dugong ecology and regional context</w:t>
      </w:r>
    </w:p>
    <w:p>
      <w:pPr>
        <w:pStyle w:val="FirstParagraph"/>
      </w:pPr>
      <w:r>
        <w:t xml:space="preserve">Marsh et al. (2002, 2011) established the baseline understanding of dugong</w:t>
      </w:r>
      <w:r>
        <w:t xml:space="preserve"> </w:t>
      </w:r>
      <w:r>
        <w:t xml:space="preserve">ecology and the threats driving decline — habitat loss, bycatch, and vessel</w:t>
      </w:r>
      <w:r>
        <w:t xml:space="preserve"> </w:t>
      </w:r>
      <w:r>
        <w:t xml:space="preserve">strike foremost among them. This project weights observed habitat loss highest</w:t>
      </w:r>
      <w:r>
        <w:t xml:space="preserve"> </w:t>
      </w:r>
      <w:r>
        <w:t xml:space="preserve">precisely because the literature treats it as the most consequential and most</w:t>
      </w:r>
      <w:r>
        <w:t xml:space="preserve"> </w:t>
      </w:r>
      <w:r>
        <w:t xml:space="preserve">directly observable driver. The Marine Mammal Protected Areas Task Force’s</w:t>
      </w:r>
      <w:r>
        <w:t xml:space="preserve"> </w:t>
      </w:r>
      <w:r>
        <w:rPr>
          <w:i/>
          <w:iCs/>
        </w:rPr>
        <w:t xml:space="preserve">Southern Gulf</w:t>
      </w:r>
      <w:r>
        <w:t xml:space="preserve"> </w:t>
      </w:r>
      <w:r>
        <w:t xml:space="preserve">IMMA factsheet documents Abu Dhabi’s population as the</w:t>
      </w:r>
      <w:r>
        <w:t xml:space="preserve"> </w:t>
      </w:r>
      <w:r>
        <w:t xml:space="preserve">second-largest globally, with the Marawah / Bu Tinah area at highest regional</w:t>
      </w:r>
      <w:r>
        <w:t xml:space="preserve"> </w:t>
      </w:r>
      <w:r>
        <w:t xml:space="preserve">density — the basis for this project’s</w:t>
      </w:r>
      <w:r>
        <w:t xml:space="preserve"> </w:t>
      </w:r>
      <w:r>
        <w:t xml:space="preserve">“dugong use”</w:t>
      </w:r>
      <w:r>
        <w:t xml:space="preserve"> </w:t>
      </w:r>
      <w:r>
        <w:t xml:space="preserve">surface (Section 3.3). The</w:t>
      </w:r>
      <w:r>
        <w:t xml:space="preserve"> </w:t>
      </w:r>
      <w:r>
        <w:t xml:space="preserve">EAD’s 2015 aerial dugong survey corroborates that pattern, and the Dugong &amp;</w:t>
      </w:r>
      <w:r>
        <w:t xml:space="preserve"> </w:t>
      </w:r>
      <w:r>
        <w:t xml:space="preserve">Seagrass Conservation Project (UAE) documents land reclamation and dredging as</w:t>
      </w:r>
      <w:r>
        <w:t xml:space="preserve"> </w:t>
      </w:r>
      <w:r>
        <w:t xml:space="preserve">the leading local drivers of seagrass loss, and that Gulf meadows support only</w:t>
      </w:r>
      <w:r>
        <w:t xml:space="preserve"> </w:t>
      </w:r>
      <w:r>
        <w:t xml:space="preserve">three heat-tolerant seagrass species under summer sea-surface temperatures</w:t>
      </w:r>
      <w:r>
        <w:t xml:space="preserve"> </w:t>
      </w:r>
      <w:r>
        <w:t xml:space="preserve">regularly exceeding 36 °C — both incorporated directly into the threat weighting.</w:t>
      </w:r>
    </w:p>
    <w:bookmarkEnd w:id="19"/>
    <w:bookmarkStart w:id="20" w:name="habitat-risk-assessment-methodology"/>
    <w:p>
      <w:pPr>
        <w:pStyle w:val="Heading2"/>
      </w:pPr>
      <w:r>
        <w:t xml:space="preserve">2.2 Habitat risk assessment methodology</w:t>
      </w:r>
    </w:p>
    <w:p>
      <w:pPr>
        <w:pStyle w:val="FirstParagraph"/>
      </w:pPr>
      <w:r>
        <w:t xml:space="preserve">The core framework — risk as</w:t>
      </w:r>
      <w:r>
        <w:t xml:space="preserve"> </w:t>
      </w:r>
      <w:r>
        <w:rPr>
          <w:b/>
          <w:bCs/>
        </w:rPr>
        <w:t xml:space="preserve">exposure × consequence</w:t>
      </w:r>
      <w:r>
        <w:t xml:space="preserve">, high only where</w:t>
      </w:r>
      <w:r>
        <w:t xml:space="preserve"> </w:t>
      </w:r>
      <w:r>
        <w:t xml:space="preserve">valuable habitat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real pressure coincide — follows two established sources.</w:t>
      </w:r>
      <w:r>
        <w:t xml:space="preserve"> </w:t>
      </w:r>
      <w:r>
        <w:t xml:space="preserve">Halpern et al. (2008) established the cumulative human-impact mapping approach</w:t>
      </w:r>
      <w:r>
        <w:t xml:space="preserve"> </w:t>
      </w:r>
      <w:r>
        <w:t xml:space="preserve">behind this project’s weighted threat overlay. Arkema et al. (2013) and the</w:t>
      </w:r>
      <w:r>
        <w:t xml:space="preserve"> </w:t>
      </w:r>
      <w:r>
        <w:t xml:space="preserve">InVEST Habitat Risk Assessment (Natural Capital Project) formalise the</w:t>
      </w:r>
      <w:r>
        <w:t xml:space="preserve"> </w:t>
      </w:r>
      <w:r>
        <w:t xml:space="preserve">exposure-times-consequence logic that</w:t>
      </w:r>
      <w:r>
        <w:t xml:space="preserve"> </w:t>
      </w:r>
      <w:r>
        <w:rPr>
          <w:rStyle w:val="VerbatimChar"/>
        </w:rPr>
        <w:t xml:space="preserve">Risk = Value × Threat</w:t>
      </w:r>
      <w:r>
        <w:t xml:space="preserve"> </w:t>
      </w:r>
      <w:r>
        <w:t xml:space="preserve">implements,</w:t>
      </w:r>
      <w:r>
        <w:t xml:space="preserve"> </w:t>
      </w:r>
      <w:r>
        <w:t xml:space="preserve">including normalising each factor to a common 0–1 scale before combination. This</w:t>
      </w:r>
      <w:r>
        <w:t xml:space="preserve"> </w:t>
      </w:r>
      <w:r>
        <w:t xml:space="preserve">is why the index multiplies value by threat rather than summing threats alone —</w:t>
      </w:r>
      <w:r>
        <w:t xml:space="preserve"> </w:t>
      </w:r>
      <w:r>
        <w:t xml:space="preserve">which would flag high-pressure but seagrass-free water as</w:t>
      </w:r>
      <w:r>
        <w:t xml:space="preserve"> </w:t>
      </w:r>
      <w:r>
        <w:t xml:space="preserve">“risky,”</w:t>
      </w:r>
      <w:r>
        <w:t xml:space="preserve"> </w:t>
      </w:r>
      <w:r>
        <w:t xml:space="preserve">a meaningless</w:t>
      </w:r>
      <w:r>
        <w:t xml:space="preserve"> </w:t>
      </w:r>
      <w:r>
        <w:t xml:space="preserve">output for conservation planning.</w:t>
      </w:r>
    </w:p>
    <w:bookmarkEnd w:id="20"/>
    <w:bookmarkStart w:id="21" w:name="regional-and-institutional-context"/>
    <w:p>
      <w:pPr>
        <w:pStyle w:val="Heading2"/>
      </w:pPr>
      <w:r>
        <w:t xml:space="preserve">2.3 Regional and institutional context</w:t>
      </w:r>
    </w:p>
    <w:p>
      <w:pPr>
        <w:pStyle w:val="FirstParagraph"/>
      </w:pPr>
      <w:r>
        <w:t xml:space="preserve">The UNESCO Man and the Biosphere designation of the Marawah Reserve (2007), and</w:t>
      </w:r>
      <w:r>
        <w:t xml:space="preserve"> </w:t>
      </w:r>
      <w:r>
        <w:t xml:space="preserve">its Marine Protected Area status since 2001, make it the largest MPA in the</w:t>
      </w:r>
      <w:r>
        <w:t xml:space="preserve"> </w:t>
      </w:r>
      <w:r>
        <w:t xml:space="preserve">Arabian Gulf (4,255 km²) and the institutional context for the study area — and</w:t>
      </w:r>
      <w:r>
        <w:t xml:space="preserve"> </w:t>
      </w:r>
      <w:r>
        <w:t xml:space="preserve">the reason habitat inside the reserve, and especially the Bu Tinah no-take core,</w:t>
      </w:r>
      <w:r>
        <w:t xml:space="preserve"> </w:t>
      </w:r>
      <w:r>
        <w:t xml:space="preserve">carries elevated weight in the model.</w:t>
      </w:r>
    </w:p>
    <w:bookmarkEnd w:id="21"/>
    <w:bookmarkStart w:id="22" w:name="gap-this-project-addresses"/>
    <w:p>
      <w:pPr>
        <w:pStyle w:val="Heading2"/>
      </w:pPr>
      <w:r>
        <w:t xml:space="preserve">2.4 Gap this project addresses</w:t>
      </w:r>
    </w:p>
    <w:p>
      <w:pPr>
        <w:pStyle w:val="FirstParagraph"/>
      </w:pPr>
      <w:r>
        <w:t xml:space="preserve">None of these sources combine seagrass classification, observed change, and</w:t>
      </w:r>
      <w:r>
        <w:t xml:space="preserve"> </w:t>
      </w:r>
      <w:r>
        <w:t xml:space="preserve">multi-factor threat data into a single, ranked, reproducible risk output for</w:t>
      </w:r>
      <w:r>
        <w:t xml:space="preserve"> </w:t>
      </w:r>
      <w:r>
        <w:t xml:space="preserve">dugong habitat in this region. They describe</w:t>
      </w:r>
      <w:r>
        <w:t xml:space="preserve"> </w:t>
      </w:r>
      <w:r>
        <w:rPr>
          <w:i/>
          <w:iCs/>
        </w:rPr>
        <w:t xml:space="preserve">where dugongs are</w:t>
      </w:r>
      <w:r>
        <w:t xml:space="preserve">,</w:t>
      </w:r>
      <w:r>
        <w:t xml:space="preserve"> </w:t>
      </w:r>
      <w:r>
        <w:rPr>
          <w:i/>
          <w:iCs/>
        </w:rPr>
        <w:t xml:space="preserve">what</w:t>
      </w:r>
      <w:r>
        <w:rPr>
          <w:i/>
          <w:iCs/>
        </w:rPr>
        <w:t xml:space="preserve"> </w:t>
      </w:r>
      <w:r>
        <w:rPr>
          <w:i/>
          <w:iCs/>
        </w:rPr>
        <w:t xml:space="preserve">threatens them</w:t>
      </w:r>
      <w:r>
        <w:t xml:space="preserve">, and</w:t>
      </w:r>
      <w:r>
        <w:t xml:space="preserve"> </w:t>
      </w:r>
      <w:r>
        <w:rPr>
          <w:i/>
          <w:iCs/>
        </w:rPr>
        <w:t xml:space="preserve">how to combine exposure and threat in general</w:t>
      </w:r>
      <w:r>
        <w:t xml:space="preserve">; this</w:t>
      </w:r>
      <w:r>
        <w:t xml:space="preserve"> </w:t>
      </w:r>
      <w:r>
        <w:t xml:space="preserve">project applies that general framework with region-specific data and justified</w:t>
      </w:r>
      <w:r>
        <w:t xml:space="preserve"> </w:t>
      </w:r>
      <w:r>
        <w:t xml:space="preserve">weights to produce a specific, auditable output for Marawah / Bu Tinah.</w:t>
      </w:r>
    </w:p>
    <w:bookmarkEnd w:id="22"/>
    <w:bookmarkEnd w:id="23"/>
    <w:bookmarkStart w:id="47" w:name="methodology"/>
    <w:p>
      <w:pPr>
        <w:pStyle w:val="Heading1"/>
      </w:pPr>
      <w:r>
        <w:t xml:space="preserve">3. Methodology</w:t>
      </w:r>
    </w:p>
    <w:p>
      <w:pPr>
        <w:pStyle w:val="FirstParagraph"/>
      </w:pPr>
      <w:r>
        <w:t xml:space="preserve">Every number below is drawn directly from the project’s two notebooks</w:t>
      </w:r>
      <w:r>
        <w:t xml:space="preserve"> </w:t>
      </w:r>
      <w:r>
        <w:t xml:space="preserve">(</w:t>
      </w:r>
      <w:r>
        <w:rPr>
          <w:rStyle w:val="VerbatimChar"/>
        </w:rPr>
        <w:t xml:space="preserve">M2_classification/Seagrass_Dugong_Mapping.ipynb</w:t>
      </w:r>
      <w:r>
        <w:t xml:space="preserve"> </w:t>
      </w:r>
      <w:r>
        <w:t xml:space="preserve">for classification and</w:t>
      </w:r>
      <w:r>
        <w:t xml:space="preserve"> </w:t>
      </w:r>
      <w:r>
        <w:rPr>
          <w:rStyle w:val="VerbatimChar"/>
        </w:rPr>
        <w:t xml:space="preserve">C_risk_gis/Dugong_Habitat_Risk.ipynb</w:t>
      </w:r>
      <w:r>
        <w:t xml:space="preserve"> </w:t>
      </w:r>
      <w:r>
        <w:t xml:space="preserve">for the risk model), both run against</w:t>
      </w:r>
      <w:r>
        <w:t xml:space="preserve"> </w:t>
      </w:r>
      <w:r>
        <w:t xml:space="preserve">live data and verified.</w:t>
      </w:r>
    </w:p>
    <w:p>
      <w:pPr>
        <w:pStyle w:val="CaptionedFigure"/>
      </w:pPr>
      <w:r>
        <w:drawing>
          <wp:inline>
            <wp:extent cx="5334000" cy="6664071"/>
            <wp:effectExtent b="0" l="0" r="0" t="0"/>
            <wp:docPr descr="The five-track pipeline: each track (A–E) hands its output to the next, from data acquisition through machine learning, risk modelling, the dashboard, and this report." title="" id="25" name="Picture"/>
            <a:graphic>
              <a:graphicData uri="http://schemas.openxmlformats.org/drawingml/2006/picture">
                <pic:pic>
                  <pic:nvPicPr>
                    <pic:cNvPr descr="../diagrams/2_five_track_pipeli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4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five-track pipeline: each track (A–E) hands its output to the next, from data acquisition through machine learning, risk modelling, the dashboard, and this report.</w:t>
      </w:r>
    </w:p>
    <w:bookmarkStart w:id="30" w:name="study-area-and-data"/>
    <w:p>
      <w:pPr>
        <w:pStyle w:val="Heading2"/>
      </w:pPr>
      <w:r>
        <w:t xml:space="preserve">3.1 Study area and data</w:t>
      </w:r>
    </w:p>
    <w:p>
      <w:pPr>
        <w:pStyle w:val="FirstParagraph"/>
      </w:pPr>
      <w:r>
        <w:t xml:space="preserve">The study area is a 774.6 km² polygon over the Marawah / Bu Tinah region of the</w:t>
      </w:r>
      <w:r>
        <w:t xml:space="preserve"> </w:t>
      </w:r>
      <w:r>
        <w:t xml:space="preserve">Arabian Gulf (lon 52.98–53.32, lat 24.19–24.48), entirely inside the Marawah</w:t>
      </w:r>
      <w:r>
        <w:t xml:space="preserve"> </w:t>
      </w:r>
      <w:r>
        <w:t xml:space="preserve">Marine Biosphere Reserve.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Satellite imagery:</w:t>
      </w:r>
      <w:r>
        <w:t xml:space="preserve"> </w:t>
      </w:r>
      <w:r>
        <w:t xml:space="preserve">Sentinel-2 Surface Reflectance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COPERNICUS/S2_SR_HARMONIZED</w:t>
      </w:r>
      <w:r>
        <w:t xml:space="preserve">) via Google Earth Engine, cloud-masked (QA60)</w:t>
      </w:r>
      <w:r>
        <w:t xml:space="preserve"> </w:t>
      </w:r>
      <w:r>
        <w:t xml:space="preserve">and median-composited per year; 222 scenes built the 2024 composite.</w:t>
      </w:r>
      <w:r>
        <w:t xml:space="preserve"> </w:t>
      </w:r>
      <w:r>
        <w:t xml:space="preserve">Composites for 2019 and 2024 are compared.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Thermal data:</w:t>
      </w:r>
      <w:r>
        <w:t xml:space="preserve"> </w:t>
      </w:r>
      <w:r>
        <w:t xml:space="preserve">Landsat 8/9 summer surface temperature (</w:t>
      </w:r>
      <w:r>
        <w:rPr>
          <w:rStyle w:val="VerbatimChar"/>
        </w:rPr>
        <w:t xml:space="preserve">ST_B10</w:t>
      </w:r>
      <w:r>
        <w:t xml:space="preserve">,</w:t>
      </w:r>
      <w:r>
        <w:t xml:space="preserve"> </w:t>
      </w:r>
      <w:r>
        <w:t xml:space="preserve">June–September), converted to Celsius and water-masked so hot dry land cannot</w:t>
      </w:r>
      <w:r>
        <w:t xml:space="preserve"> </w:t>
      </w:r>
      <w:r>
        <w:t xml:space="preserve">skew the signal.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Training and reference data (EAD):</w:t>
      </w:r>
      <w:r>
        <w:t xml:space="preserve"> </w:t>
      </w:r>
      <w:r>
        <w:t xml:space="preserve">118 seagrass and 171 non-seagrass</w:t>
      </w:r>
      <w:r>
        <w:t xml:space="preserve"> </w:t>
      </w:r>
      <w:r>
        <w:t xml:space="preserve">polygons for training; a separate 118-polygon seagrass layer for independent</w:t>
      </w:r>
      <w:r>
        <w:t xml:space="preserve"> </w:t>
      </w:r>
      <w:r>
        <w:t xml:space="preserve">validation; and a 1,954-polygon regional layer for context only.</w:t>
      </w:r>
    </w:p>
    <w:p>
      <w:pPr>
        <w:pStyle w:val="FirstParagraph"/>
      </w:pPr>
      <w:r>
        <w:t xml:space="preserve">The binary scheme (</w:t>
      </w:r>
      <w:r>
        <w:rPr>
          <w:rStyle w:val="VerbatimChar"/>
        </w:rPr>
        <w:t xml:space="preserve">1 = seagrass</w:t>
      </w:r>
      <w:r>
        <w:t xml:space="preserve">,</w:t>
      </w:r>
      <w:r>
        <w:t xml:space="preserve"> </w:t>
      </w:r>
      <w:r>
        <w:rPr>
          <w:rStyle w:val="VerbatimChar"/>
        </w:rPr>
        <w:t xml:space="preserve">0 = non-seagrass</w:t>
      </w:r>
      <w:r>
        <w:t xml:space="preserve">) matches the EAD training</w:t>
      </w:r>
      <w:r>
        <w:t xml:space="preserve"> </w:t>
      </w:r>
      <w:r>
        <w:t xml:space="preserve">data.</w:t>
      </w:r>
    </w:p>
    <w:p>
      <w:pPr>
        <w:pStyle w:val="CaptionedFigure"/>
      </w:pPr>
      <w:r>
        <w:drawing>
          <wp:inline>
            <wp:extent cx="5334000" cy="5009130"/>
            <wp:effectExtent b="0" l="0" r="0" t="0"/>
            <wp:docPr descr="Official EAD seagrass reference beds (118 polygons) within the 774.6 km² study area — the ground truth the classifier is trained and validated against." title="" id="28" name="Picture"/>
            <a:graphic>
              <a:graphicData uri="http://schemas.openxmlformats.org/drawingml/2006/picture">
                <pic:pic>
                  <pic:nvPicPr>
                    <pic:cNvPr descr="../D_dashboard/figures/B_ead_seagrass_exte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Official EAD seagrass reference beds (118 polygons) within the 774.6 km² study area — the ground truth the classifier is trained and validated against.</w:t>
      </w:r>
    </w:p>
    <w:bookmarkEnd w:id="30"/>
    <w:bookmarkStart w:id="37" w:name="seagrass-classification-track-b"/>
    <w:p>
      <w:pPr>
        <w:pStyle w:val="Heading2"/>
      </w:pPr>
      <w:r>
        <w:t xml:space="preserve">3.2 Seagrass classification (Track B)</w:t>
      </w:r>
    </w:p>
    <w:p>
      <w:pPr>
        <w:pStyle w:val="FirstParagraph"/>
      </w:pPr>
      <w:r>
        <w:t xml:space="preserve">Each composite is reduced to</w:t>
      </w:r>
      <w:r>
        <w:t xml:space="preserve"> </w:t>
      </w:r>
      <w:r>
        <w:rPr>
          <w:b/>
          <w:bCs/>
        </w:rPr>
        <w:t xml:space="preserve">14 predictor bands</w:t>
      </w:r>
      <w:r>
        <w:t xml:space="preserve"> </w:t>
      </w:r>
      <w:r>
        <w:t xml:space="preserve">— ten raw Sentinel-2 bands</w:t>
      </w:r>
      <w:r>
        <w:t xml:space="preserve"> </w:t>
      </w:r>
      <w:r>
        <w:t xml:space="preserve">(B2–B12) plus four spectral indices (NDVI, NDWI, MNDWI, BSI). Stratified random</w:t>
      </w:r>
      <w:r>
        <w:t xml:space="preserve"> </w:t>
      </w:r>
      <w:r>
        <w:t xml:space="preserve">points inside the training polygons (not one per polygon, since sizes vary up to</w:t>
      </w:r>
      <w:r>
        <w:t xml:space="preserve"> </w:t>
      </w:r>
      <w:r>
        <w:t xml:space="preserve">~61 km²) supply each point’s 14 band values at 10 m. 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ee.Classifier.smileRandomForest</w:t>
      </w:r>
      <w:r>
        <w:t xml:space="preserve">, 100 trees, fixed seed) is trained on an</w:t>
      </w:r>
      <w:r>
        <w:t xml:space="preserve"> </w:t>
      </w:r>
      <w:r>
        <w:t xml:space="preserve">80/20 split; a class-balanced version outperformed the imbalanced one on every</w:t>
      </w:r>
      <w:r>
        <w:t xml:space="preserve"> </w:t>
      </w:r>
      <w:r>
        <w:t xml:space="preserve">metric (Section 4) and is used downstream. For</w:t>
      </w:r>
      <w:r>
        <w:t xml:space="preserve"> </w:t>
      </w:r>
      <w:r>
        <w:rPr>
          <w:b/>
          <w:bCs/>
        </w:rPr>
        <w:t xml:space="preserve">change detection</w:t>
      </w:r>
      <w:r>
        <w:t xml:space="preserve">, the same</w:t>
      </w:r>
      <w:r>
        <w:t xml:space="preserve"> </w:t>
      </w:r>
      <w:r>
        <w:t xml:space="preserve">trained classifier is applied to both 2019 and 2024 (not retrained per period,</w:t>
      </w:r>
      <w:r>
        <w:t xml:space="preserve"> </w:t>
      </w:r>
      <w:r>
        <w:t xml:space="preserve">so differences reflect real change, not model drift), and the two maps are</w:t>
      </w:r>
      <w:r>
        <w:t xml:space="preserve"> </w:t>
      </w:r>
      <w:r>
        <w:t xml:space="preserve">differenced into four classes: stable non-seagrass, stable seagrass, gain, and</w:t>
      </w:r>
      <w:r>
        <w:t xml:space="preserve"> </w:t>
      </w:r>
      <w:r>
        <w:t xml:space="preserve">loss.</w:t>
      </w:r>
    </w:p>
    <w:p>
      <w:pPr>
        <w:pStyle w:val="CaptionedFigure"/>
      </w:pPr>
      <w:r>
        <w:drawing>
          <wp:inline>
            <wp:extent cx="5334000" cy="8434351"/>
            <wp:effectExtent b="0" l="0" r="0" t="0"/>
            <wp:docPr descr="The Track B seagrass-classification workflow, from Sentinel-2 imagery through the 14-band feature stack and Random Forest classifier to a validated seagrass map." title="" id="32" name="Picture"/>
            <a:graphic>
              <a:graphicData uri="http://schemas.openxmlformats.org/drawingml/2006/picture">
                <pic:pic>
                  <pic:nvPicPr>
                    <pic:cNvPr descr="../diagrams/3_classification_workflo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34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Track B seagrass-classification workflow, from Sentinel-2 imagery through the 14-band feature stack and Random Forest classifier to a validated seagrass map.</w:t>
      </w:r>
    </w:p>
    <w:p>
      <w:pPr>
        <w:pStyle w:val="CaptionedFigure"/>
      </w:pPr>
      <w:r>
        <w:drawing>
          <wp:inline>
            <wp:extent cx="5334000" cy="2136133"/>
            <wp:effectExtent b="0" l="0" r="0" t="0"/>
            <wp:docPr descr="Change detection: the same trained classifier is applied to the 2019 and 2024 composites and the two maps are differenced into four change classes — stable non-seagrass, stable seagrass, gain, and loss." title="" id="35" name="Picture"/>
            <a:graphic>
              <a:graphicData uri="http://schemas.openxmlformats.org/drawingml/2006/picture">
                <pic:pic>
                  <pic:nvPicPr>
                    <pic:cNvPr descr="../diagrams/4_change_detec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6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Change detection: the same trained classifier is applied to the 2019 and 2024 composites and the two maps are differenced into four change classes — stable non-seagrass, stable seagrass, gain, and loss.</w:t>
      </w:r>
    </w:p>
    <w:bookmarkEnd w:id="37"/>
    <w:bookmarkStart w:id="44" w:name="habitat-risk-model-track-c"/>
    <w:p>
      <w:pPr>
        <w:pStyle w:val="Heading2"/>
      </w:pPr>
      <w:r>
        <w:t xml:space="preserve">3.3 Habitat-risk model (Track C)</w:t>
      </w:r>
    </w:p>
    <w:p>
      <w:pPr>
        <w:pStyle w:val="FirstParagraph"/>
      </w:pPr>
      <w:r>
        <w:t xml:space="preserve">The model follows an</w:t>
      </w:r>
      <w:r>
        <w:t xml:space="preserve"> </w:t>
      </w:r>
      <w:r>
        <w:rPr>
          <w:b/>
          <w:bCs/>
        </w:rPr>
        <w:t xml:space="preserve">exposure × consequence</w:t>
      </w:r>
      <w:r>
        <w:t xml:space="preserve"> </w:t>
      </w:r>
      <w:r>
        <w:t xml:space="preserve">structure (Section 2.2):</w:t>
      </w:r>
      <w:r>
        <w:t xml:space="preserve"> </w:t>
      </w:r>
      <w:r>
        <w:rPr>
          <w:rStyle w:val="VerbatimChar"/>
        </w:rPr>
        <w:t xml:space="preserve">Risk = Value × Threat</w:t>
      </w:r>
      <w:r>
        <w:t xml:space="preserve">, so a location scores high only when valuable habitat and</w:t>
      </w:r>
      <w:r>
        <w:t xml:space="preserve"> </w:t>
      </w:r>
      <w:r>
        <w:t xml:space="preserve">real pressure coincide.</w:t>
      </w:r>
    </w:p>
    <w:p>
      <w:pPr>
        <w:pStyle w:val="BodyText"/>
      </w:pPr>
      <w:r>
        <w:rPr>
          <w:b/>
          <w:bCs/>
        </w:rPr>
        <w:t xml:space="preserve">Value (what is at stake):</w:t>
      </w:r>
    </w:p>
    <w:p>
      <w:pPr>
        <w:pStyle w:val="SourceCode"/>
      </w:pPr>
      <w:r>
        <w:rPr>
          <w:rStyle w:val="VerbatimChar"/>
        </w:rPr>
        <w:t xml:space="preserve">Value = SeagrassPresence × (0.6 + 0.4 × DugongUse)</w:t>
      </w:r>
    </w:p>
    <w:p>
      <w:pPr>
        <w:pStyle w:val="FirstParagraph"/>
      </w:pPr>
      <w:r>
        <w:rPr>
          <w:rStyle w:val="VerbatimChar"/>
        </w:rPr>
        <w:t xml:space="preserve">SeagrassPresence</w:t>
      </w:r>
      <w:r>
        <w:t xml:space="preserve"> </w:t>
      </w:r>
      <w:r>
        <w:t xml:space="preserve">comes from the 2024 classification;</w:t>
      </w:r>
      <w:r>
        <w:t xml:space="preserve"> </w:t>
      </w:r>
      <w:r>
        <w:rPr>
          <w:rStyle w:val="VerbatimChar"/>
        </w:rPr>
        <w:t xml:space="preserve">DugongUse</w:t>
      </w:r>
      <w:r>
        <w:t xml:space="preserve"> </w:t>
      </w:r>
      <w:r>
        <w:t xml:space="preserve">is a 0–1</w:t>
      </w:r>
      <w:r>
        <w:t xml:space="preserve"> </w:t>
      </w:r>
      <w:r>
        <w:t xml:space="preserve">distance-decay surface from documented high-density anchors (Marawah core, Bu</w:t>
      </w:r>
      <w:r>
        <w:t xml:space="preserve"> </w:t>
      </w:r>
      <w:r>
        <w:t xml:space="preserve">Tinah, central foraging grounds), so core seagrass is weighted up to ~1.7× more</w:t>
      </w:r>
      <w:r>
        <w:t xml:space="preserve"> </w:t>
      </w:r>
      <w:r>
        <w:t xml:space="preserve">than reserve-edge seagrass while every reserve pixel keeps some value.</w:t>
      </w:r>
    </w:p>
    <w:p>
      <w:pPr>
        <w:pStyle w:val="BodyText"/>
      </w:pPr>
      <w:r>
        <w:rPr>
          <w:b/>
          <w:bCs/>
        </w:rPr>
        <w:t xml:space="preserve">Threat (what acts on it)</w:t>
      </w:r>
      <w:r>
        <w:t xml:space="preserve"> </w:t>
      </w:r>
      <w:r>
        <w:t xml:space="preserve">— a weighted sum of five normalised (0–1) factors: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Measured 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seagrass loss (2019→2024)</w:t>
            </w:r>
          </w:p>
        </w:tc>
        <w:tc>
          <w:tcPr/>
          <w:p>
            <w:pPr>
              <w:pStyle w:val="Compact"/>
            </w:pPr>
            <w:r>
              <w:t xml:space="preserve">Smoothed density of</w:t>
            </w:r>
            <w:r>
              <w:t xml:space="preserve"> </w:t>
            </w:r>
            <w:r>
              <w:t xml:space="preserve">“loss”</w:t>
            </w:r>
            <w:r>
              <w:t xml:space="preserve"> </w:t>
            </w:r>
            <w:r>
              <w:t xml:space="preserve">change pixels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Coastal development / dredging</w:t>
            </w:r>
          </w:p>
        </w:tc>
        <w:tc>
          <w:tcPr/>
          <w:p>
            <w:pPr>
              <w:pStyle w:val="Compact"/>
            </w:pPr>
            <w:r>
              <w:t xml:space="preserve">Distance decay from mapped development points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stress</w:t>
            </w:r>
          </w:p>
        </w:tc>
        <w:tc>
          <w:tcPr/>
          <w:p>
            <w:pPr>
              <w:pStyle w:val="Compact"/>
            </w:pPr>
            <w:r>
              <w:t xml:space="preserve">Landsat summer surface temperature, water-masked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Desalination / industrial discharge</w:t>
            </w:r>
          </w:p>
        </w:tc>
        <w:tc>
          <w:tcPr/>
          <w:p>
            <w:pPr>
              <w:pStyle w:val="Compact"/>
            </w:pPr>
            <w:r>
              <w:t xml:space="preserve">Distance decay from mapped discharge points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Vessel / navigation pressure</w:t>
            </w:r>
          </w:p>
        </w:tc>
        <w:tc>
          <w:tcPr/>
          <w:p>
            <w:pPr>
              <w:pStyle w:val="Compact"/>
            </w:pPr>
            <w:r>
              <w:t xml:space="preserve">Distance decay from ports, landings, routes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</w:tbl>
    <w:p>
      <w:pPr>
        <w:pStyle w:val="BodyText"/>
      </w:pPr>
      <w:r>
        <w:t xml:space="preserve">Distance factors use</w:t>
      </w:r>
      <w:r>
        <w:t xml:space="preserve"> </w:t>
      </w:r>
      <w:r>
        <w:rPr>
          <w:rStyle w:val="VerbatimChar"/>
        </w:rPr>
        <w:t xml:space="preserve">exp(−distance/λ)</w:t>
      </w:r>
      <w:r>
        <w:t xml:space="preserve"> </w:t>
      </w:r>
      <w:r>
        <w:t xml:space="preserve">with factor-specific decay lengths</w:t>
      </w:r>
      <w:r>
        <w:t xml:space="preserve"> </w:t>
      </w:r>
      <w:r>
        <w:t xml:space="preserve">(λ ≈ 3–5 km), so distant regional plants contribute almost nothing while the</w:t>
      </w:r>
      <w:r>
        <w:t xml:space="preserve"> </w:t>
      </w:r>
      <w:r>
        <w:t xml:space="preserve">nearer Mirfa plant registers on the reserve’s south-east flank. Built-</w:t>
      </w:r>
      <w:r>
        <w:t xml:space="preserve"> </w:t>
      </w:r>
      <w:r>
        <w:t xml:space="preserve">infrastructure coordinates are real; the reserve boundary, dugong-density</w:t>
      </w:r>
      <w:r>
        <w:t xml:space="preserve"> </w:t>
      </w:r>
      <w:r>
        <w:t xml:space="preserve">surface, and navigation routes are documented approximations pending official</w:t>
      </w:r>
      <w:r>
        <w:t xml:space="preserve"> </w:t>
      </w:r>
      <w:r>
        <w:t xml:space="preserve">EAD GIS layers.</w:t>
      </w:r>
      <w:r>
        <w:t xml:space="preserve"> </w:t>
      </w:r>
      <w:r>
        <w:rPr>
          <w:rStyle w:val="VerbatimChar"/>
        </w:rPr>
        <w:t xml:space="preserve">Risk = Value × Threat</w:t>
      </w:r>
      <w:r>
        <w:t xml:space="preserve"> </w:t>
      </w:r>
      <w:r>
        <w:t xml:space="preserve">is rescaled 0–1 and binned into five</w:t>
      </w:r>
      <w:r>
        <w:t xml:space="preserve"> </w:t>
      </w:r>
      <w:r>
        <w:t xml:space="preserve">classes (Very Low → Very High) using quantile breaks over seagrass pixels only.</w:t>
      </w:r>
    </w:p>
    <w:p>
      <w:pPr>
        <w:pStyle w:val="CaptionedFigure"/>
      </w:pPr>
      <w:r>
        <w:drawing>
          <wp:inline>
            <wp:extent cx="5334000" cy="1871010"/>
            <wp:effectExtent b="0" l="0" r="0" t="0"/>
            <wp:docPr descr="The Track C habitat-risk model: a habitat-value layer multiplied by a weighted threat layer, rescaled, classified, and ranked into hotspots." title="" id="39" name="Picture"/>
            <a:graphic>
              <a:graphicData uri="http://schemas.openxmlformats.org/drawingml/2006/picture">
                <pic:pic>
                  <pic:nvPicPr>
                    <pic:cNvPr descr="../diagrams/5_risk_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Track C habitat-risk model: a habitat-value layer multiplied by a weighted threat layer, rescaled, classified, and ranked into hotspots.</w:t>
      </w:r>
    </w:p>
    <w:p>
      <w:pPr>
        <w:pStyle w:val="CaptionedFigure"/>
      </w:pPr>
      <w:r>
        <w:drawing>
          <wp:inline>
            <wp:extent cx="5334000" cy="2468323"/>
            <wp:effectExtent b="0" l="0" r="0" t="0"/>
            <wp:docPr descr="The weighted threat model: five normalised factors combined in documented proportions into a single threat-pressure surface." title="" id="42" name="Picture"/>
            <a:graphic>
              <a:graphicData uri="http://schemas.openxmlformats.org/drawingml/2006/picture">
                <pic:pic>
                  <pic:nvPicPr>
                    <pic:cNvPr descr="../diagrams/6_threat_mode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weighted threat model: five normalised factors combined in documented proportions into a single threat-pressure surface.</w:t>
      </w:r>
    </w:p>
    <w:bookmarkEnd w:id="44"/>
    <w:bookmarkStart w:id="45" w:name="validation-approach"/>
    <w:p>
      <w:pPr>
        <w:pStyle w:val="Heading2"/>
      </w:pPr>
      <w:r>
        <w:t xml:space="preserve">3.4 Validation approach</w:t>
      </w:r>
    </w:p>
    <w:p>
      <w:pPr>
        <w:pStyle w:val="FirstParagraph"/>
      </w:pPr>
      <w:r>
        <w:t xml:space="preserve">Beyond standard accuracy metrics, three checks test whether the risk output is</w:t>
      </w:r>
      <w:r>
        <w:t xml:space="preserve"> </w:t>
      </w:r>
      <w:r>
        <w:t xml:space="preserve">trustworthy rather than an artefact of its parameters (results in Section</w:t>
      </w:r>
      <w:r>
        <w:t xml:space="preserve"> </w:t>
      </w:r>
      <w:r>
        <w:t xml:space="preserve">4.3–4.4): (1)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— does risk fall with distance from a real</w:t>
      </w:r>
      <w:r>
        <w:t xml:space="preserve"> </w:t>
      </w:r>
      <w:r>
        <w:t xml:space="preserve">discharge point; (2)</w:t>
      </w:r>
      <w:r>
        <w:t xml:space="preserve"> </w:t>
      </w:r>
      <w:r>
        <w:rPr>
          <w:b/>
          <w:bCs/>
        </w:rPr>
        <w:t xml:space="preserve">zonal comparison</w:t>
      </w:r>
      <w:r>
        <w:t xml:space="preserve"> </w:t>
      </w:r>
      <w:r>
        <w:t xml:space="preserve">— is risk inside the dugong core higher</w:t>
      </w:r>
      <w:r>
        <w:t xml:space="preserve"> </w:t>
      </w:r>
      <w:r>
        <w:t xml:space="preserve">than reserve-wide; and (3)</w:t>
      </w:r>
      <w:r>
        <w:t xml:space="preserve"> </w:t>
      </w:r>
      <w:r>
        <w:rPr>
          <w:b/>
          <w:bCs/>
        </w:rPr>
        <w:t xml:space="preserve">weight sensitivity</w:t>
      </w:r>
      <w:r>
        <w:t xml:space="preserve"> </w:t>
      </w:r>
      <w:r>
        <w:t xml:space="preserve">— do the hotspots survive</w:t>
      </w:r>
      <w:r>
        <w:t xml:space="preserve"> </w:t>
      </w:r>
      <w:r>
        <w:t xml:space="preserve">perturbing each weight ±10%.</w:t>
      </w:r>
    </w:p>
    <w:bookmarkEnd w:id="45"/>
    <w:bookmarkStart w:id="46" w:name="implementation-and-reproducibility"/>
    <w:p>
      <w:pPr>
        <w:pStyle w:val="Heading2"/>
      </w:pPr>
      <w:r>
        <w:t xml:space="preserve">3.5 Implementation and reproducibility</w:t>
      </w:r>
    </w:p>
    <w:p>
      <w:pPr>
        <w:pStyle w:val="FirstParagraph"/>
      </w:pPr>
      <w:r>
        <w:t xml:space="preserve">The whole pipeline runs in Google Earth Engine via Python (</w:t>
      </w:r>
      <w:r>
        <w:rPr>
          <w:rStyle w:val="VerbatimChar"/>
        </w:rPr>
        <w:t xml:space="preserve">earthengine-api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geemap</w:t>
      </w:r>
      <w:r>
        <w:t xml:space="preserve">). Both notebooks re-run end-to-end using only the vector data committed</w:t>
      </w:r>
      <w:r>
        <w:t xml:space="preserve"> </w:t>
      </w:r>
      <w:r>
        <w:t xml:space="preserve">to the repository plus Earth Engine’s public Sentinel-2 / Landsat archives — no</w:t>
      </w:r>
      <w:r>
        <w:t xml:space="preserve"> </w:t>
      </w:r>
      <w:r>
        <w:t xml:space="preserve">proprietary or purchased data anywhere.</w:t>
      </w:r>
    </w:p>
    <w:bookmarkEnd w:id="46"/>
    <w:bookmarkEnd w:id="47"/>
    <w:bookmarkStart w:id="71" w:name="results"/>
    <w:p>
      <w:pPr>
        <w:pStyle w:val="Heading1"/>
      </w:pPr>
      <w:r>
        <w:t xml:space="preserve">4. Results</w:t>
      </w:r>
    </w:p>
    <w:p>
      <w:pPr>
        <w:pStyle w:val="FirstParagraph"/>
      </w:pPr>
      <w:r>
        <w:t xml:space="preserve">All figures are generated directly from these results, not illustratively.</w:t>
      </w:r>
    </w:p>
    <w:bookmarkStart w:id="57" w:name="seagrass-classification-accuracy"/>
    <w:p>
      <w:pPr>
        <w:pStyle w:val="Heading2"/>
      </w:pPr>
      <w:r>
        <w:t xml:space="preserve">4.1 Seagrass classification accuracy</w:t>
      </w:r>
    </w:p>
    <w:p>
      <w:pPr>
        <w:pStyle w:val="FirstParagraph"/>
      </w:pPr>
      <w:r>
        <w:t xml:space="preserve">Two Random Forest models were compared (Section 3.2):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Original (imbalanced)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Class-balanced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 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81.15%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Producer’s accuracy (non-seagrass)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Producer’s accuracy (seagrass)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80.85%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User’s accuracy (non-seagrass)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User’s accuracy (seagrass)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80.85%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82.02%</w:t>
            </w:r>
          </w:p>
        </w:tc>
      </w:tr>
    </w:tbl>
    <w:p>
      <w:pPr>
        <w:pStyle w:val="BodyText"/>
      </w:pPr>
      <w:r>
        <w:t xml:space="preserve">Both fall within the published 73–87% range for comparable satellite seagrass</w:t>
      </w:r>
      <w:r>
        <w:t xml:space="preserve"> </w:t>
      </w:r>
      <w:r>
        <w:t xml:space="preserve">methods; the class-balanced model is used for all risk modelling.</w:t>
      </w:r>
    </w:p>
    <w:p>
      <w:pPr>
        <w:pStyle w:val="CaptionedFigure"/>
      </w:pPr>
      <w:r>
        <w:drawing>
          <wp:inline>
            <wp:extent cx="5334000" cy="2816130"/>
            <wp:effectExtent b="0" l="0" r="0" t="0"/>
            <wp:docPr descr="Confusion matrices: original vs. class-balanced Random Forest" title="" id="49" name="Picture"/>
            <a:graphic>
              <a:graphicData uri="http://schemas.openxmlformats.org/drawingml/2006/picture">
                <pic:pic>
                  <pic:nvPicPr>
                    <pic:cNvPr descr="../D_dashboard/figures/B4_confusion_matric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matrices: original vs. class-balanced Random Forest</w:t>
      </w:r>
    </w:p>
    <w:p>
      <w:pPr>
        <w:pStyle w:val="CaptionedFigure"/>
      </w:pPr>
      <w:r>
        <w:drawing>
          <wp:inline>
            <wp:extent cx="5334000" cy="2514321"/>
            <wp:effectExtent b="0" l="0" r="0" t="0"/>
            <wp:docPr descr="Accuracy metrics compared against the published target range" title="" id="52" name="Picture"/>
            <a:graphic>
              <a:graphicData uri="http://schemas.openxmlformats.org/drawingml/2006/picture">
                <pic:pic>
                  <pic:nvPicPr>
                    <pic:cNvPr descr="../D_dashboard/figures/B4_accuracy_comparis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metrics compared against the published target range</w:t>
      </w:r>
    </w:p>
    <w:p>
      <w:pPr>
        <w:pStyle w:val="BodyText"/>
      </w:pPr>
      <w:r>
        <w:rPr>
          <w:b/>
          <w:bCs/>
        </w:rPr>
        <w:t xml:space="preserve">Feature importance</w:t>
      </w:r>
      <w:r>
        <w:t xml:space="preserve"> </w:t>
      </w:r>
      <w:r>
        <w:t xml:space="preserve">(balanced model, high to low): B12, NDWI, B4, B2, BSI,</w:t>
      </w:r>
      <w:r>
        <w:t xml:space="preserve"> </w:t>
      </w:r>
      <w:r>
        <w:t xml:space="preserve">B5, MNDWI, B8A, NDVI, B8, B3, B11, B7, B6. Water- and vegetation-index bands</w:t>
      </w:r>
      <w:r>
        <w:t xml:space="preserve"> </w:t>
      </w:r>
      <w:r>
        <w:t xml:space="preserve">(NDWI, BSI, MNDWI, NDVI) rank among the most important alongside the</w:t>
      </w:r>
      <w:r>
        <w:t xml:space="preserve"> </w:t>
      </w:r>
      <w:r>
        <w:t xml:space="preserve">shortwave-infrared band B12 — consistent with seagrass discrimination depending</w:t>
      </w:r>
      <w:r>
        <w:t xml:space="preserve"> </w:t>
      </w:r>
      <w:r>
        <w:t xml:space="preserve">on both spectral water characteristics and vegetation signal.</w:t>
      </w:r>
    </w:p>
    <w:p>
      <w:pPr>
        <w:pStyle w:val="CaptionedFigure"/>
      </w:pPr>
      <w:r>
        <w:drawing>
          <wp:inline>
            <wp:extent cx="5334000" cy="4129133"/>
            <wp:effectExtent b="0" l="0" r="0" t="0"/>
            <wp:docPr descr="Random Forest feature importance" title="" id="55" name="Picture"/>
            <a:graphic>
              <a:graphicData uri="http://schemas.openxmlformats.org/drawingml/2006/picture">
                <pic:pic>
                  <pic:nvPicPr>
                    <pic:cNvPr descr="../D_dashboard/figures/B5_feature_importanc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feature importance</w:t>
      </w:r>
    </w:p>
    <w:bookmarkEnd w:id="57"/>
    <w:bookmarkStart w:id="64" w:name="habitat-risk-index"/>
    <w:p>
      <w:pPr>
        <w:pStyle w:val="Heading2"/>
      </w:pPr>
      <w:r>
        <w:t xml:space="preserve">4.2 Habitat-risk index</w:t>
      </w:r>
    </w:p>
    <w:p>
      <w:pPr>
        <w:pStyle w:val="FirstParagraph"/>
      </w:pPr>
      <w:r>
        <w:t xml:space="preserve">Across the 774.6 km² study area the model produced: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class breaks</w:t>
      </w:r>
      <w:r>
        <w:t xml:space="preserve"> </w:t>
      </w:r>
      <w:r>
        <w:t xml:space="preserve">(quantiles over seagrass pixels, 0–1 scale): 0.049 /</w:t>
      </w:r>
      <w:r>
        <w:t xml:space="preserve"> </w:t>
      </w:r>
      <w:r>
        <w:t xml:space="preserve">0.092 / 0.158 / 0.24, separating Very Low to Very High.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105 ranked hotspots</w:t>
      </w:r>
      <w:r>
        <w:t xml:space="preserve"> </w:t>
      </w:r>
      <w:r>
        <w:t xml:space="preserve">(≥5 ha, top class), from 18.5 to 7,048.9 ha, mean risk</w:t>
      </w:r>
      <w:r>
        <w:t xml:space="preserve"> </w:t>
      </w:r>
      <w:r>
        <w:t xml:space="preserve">0.293–0.659 across the top 15. The largest (7,048.9 ha, vessel-dominated) is</w:t>
      </w:r>
      <w:r>
        <w:t xml:space="preserve"> </w:t>
      </w:r>
      <w:r>
        <w:t xml:space="preserve">one contiguous high-pressure zone rather than an artefact; smaller,</w:t>
      </w:r>
      <w:r>
        <w:t xml:space="preserve"> </w:t>
      </w:r>
      <w:r>
        <w:t xml:space="preserve">higher-mean-risk hotspots are development- and loss-dominated.</w:t>
      </w:r>
    </w:p>
    <w:p>
      <w:pPr>
        <w:pStyle w:val="Compact"/>
        <w:numPr>
          <w:ilvl w:val="0"/>
          <w:numId w:val="1004"/>
        </w:numPr>
      </w:pPr>
      <w:r>
        <w:t xml:space="preserve">Dominant threat across the top 15: vessel pressure (6), coastal development</w:t>
      </w:r>
      <w:r>
        <w:t xml:space="preserve"> </w:t>
      </w:r>
      <w:r>
        <w:t xml:space="preserve">(4), observed loss (4), thermal stress (1).</w:t>
      </w:r>
    </w:p>
    <w:p>
      <w:pPr>
        <w:pStyle w:val="CaptionedFigure"/>
      </w:pPr>
      <w:r>
        <w:drawing>
          <wp:inline>
            <wp:extent cx="5334000" cy="3253931"/>
            <wp:effectExtent b="0" l="0" r="0" t="0"/>
            <wp:docPr descr="Ranked risk hotspots by area, coloured by dominant threat" title="" id="59" name="Picture"/>
            <a:graphic>
              <a:graphicData uri="http://schemas.openxmlformats.org/drawingml/2006/picture">
                <pic:pic>
                  <pic:nvPicPr>
                    <pic:cNvPr descr="../D_dashboard/figures/C4_hotspot_rank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Ranked risk hotspots by area, coloured by dominant threat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The habitat-risk map across the study area (blue = Very Low → red = Very High), with ranked hotspot markers on the interactive dashboard. The red corridor through the centre is the vessel-dominated navigation channel." title="" id="62" name="Picture"/>
            <a:graphic>
              <a:graphicData uri="http://schemas.openxmlformats.org/drawingml/2006/picture">
                <pic:pic>
                  <pic:nvPicPr>
                    <pic:cNvPr descr="../D_dashboard/risk_map_stati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habitat-risk map across the study area (blue = Very Low → red = Very High), with ranked hotspot markers on the interactive dashboard. The red corridor through the centre is the vessel-dominated navigation channel.</w:t>
      </w:r>
    </w:p>
    <w:bookmarkEnd w:id="64"/>
    <w:bookmarkStart w:id="65" w:name="model-validation"/>
    <w:p>
      <w:pPr>
        <w:pStyle w:val="Heading2"/>
      </w:pPr>
      <w:r>
        <w:t xml:space="preserve">4.3 Model validation</w:t>
      </w:r>
    </w:p>
    <w:p>
      <w:pPr>
        <w:pStyle w:val="FirstParagraph"/>
      </w:pPr>
      <w:r>
        <w:rPr>
          <w:b/>
          <w:bCs/>
        </w:rPr>
        <w:t xml:space="preserve">Face validity:</w:t>
      </w:r>
      <w:r>
        <w:t xml:space="preserve"> </w:t>
      </w:r>
      <w:r>
        <w:t xml:space="preserve">mean risk fell from ~0.26 near the nearest discharge point</w:t>
      </w:r>
      <w:r>
        <w:t xml:space="preserve"> </w:t>
      </w:r>
      <w:r>
        <w:t xml:space="preserve">(20 km band) to ~0.09–0.14 at 40–48 km — a real decline consistent with the</w:t>
      </w:r>
      <w:r>
        <w:t xml:space="preserve"> </w:t>
      </w:r>
      <w:r>
        <w:t xml:space="preserve">model’s distance-decay construction.</w:t>
      </w:r>
    </w:p>
    <w:p>
      <w:pPr>
        <w:pStyle w:val="BodyText"/>
      </w:pPr>
      <w:r>
        <w:rPr>
          <w:b/>
          <w:bCs/>
        </w:rPr>
        <w:t xml:space="preserve">Zonal comparison:</w:t>
      </w:r>
      <w:r>
        <w:t xml:space="preserve"> </w:t>
      </w:r>
      <w:r>
        <w:t xml:space="preserve">mean risk over seagrass inside the documented dugong core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0.461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0.153</w:t>
      </w:r>
      <w:r>
        <w:t xml:space="preserve"> </w:t>
      </w:r>
      <w:r>
        <w:t xml:space="preserve">reserve-wide — roughly</w:t>
      </w:r>
      <w:r>
        <w:t xml:space="preserve"> </w:t>
      </w:r>
      <w:r>
        <w:rPr>
          <w:b/>
          <w:bCs/>
        </w:rPr>
        <w:t xml:space="preserve">3× higher</w:t>
      </w:r>
      <w:r>
        <w:t xml:space="preserve"> </w:t>
      </w:r>
      <w:r>
        <w:t xml:space="preserve">in the core.</w:t>
      </w:r>
      <w:r>
        <w:t xml:space="preserve"> </w:t>
      </w:r>
      <w:r>
        <w:t xml:space="preserve">This is the result a correct model should produce: risk concentrating where</w:t>
      </w:r>
      <w:r>
        <w:t xml:space="preserve"> </w:t>
      </w:r>
      <w:r>
        <w:t xml:space="preserve">dugongs actually are, not uniformly or at random.</w:t>
      </w:r>
    </w:p>
    <w:bookmarkEnd w:id="65"/>
    <w:bookmarkStart w:id="69" w:name="weight-sensitivity-analysis"/>
    <w:p>
      <w:pPr>
        <w:pStyle w:val="Heading2"/>
      </w:pPr>
      <w:r>
        <w:t xml:space="preserve">4.4 Weight-sensitivity analysis</w:t>
      </w:r>
    </w:p>
    <w:p>
      <w:pPr>
        <w:pStyle w:val="FirstParagraph"/>
      </w:pPr>
      <w:r>
        <w:t xml:space="preserve">Each weight was perturbed ±0.10 (re-normalised to sum to 1.0) and the high-risk</w:t>
      </w:r>
      <w:r>
        <w:t xml:space="preserve"> </w:t>
      </w:r>
      <w:r>
        <w:t xml:space="preserve">area recomputed: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perturbed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Coastal development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stress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Vessel pressure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+1%</w:t>
            </w:r>
          </w:p>
        </w:tc>
      </w:tr>
    </w:tbl>
    <w:p>
      <w:pPr>
        <w:pStyle w:val="BodyText"/>
      </w:pPr>
      <w:r>
        <w:t xml:space="preserve">Baseline high-risk area: 10,681.5 ha. No perturbation moved it by more than 3% —</w:t>
      </w:r>
      <w:r>
        <w:t xml:space="preserve"> </w:t>
      </w:r>
      <w:r>
        <w:t xml:space="preserve">the ranked hotspots are robust to the exact weighting, not an artefact of one set</w:t>
      </w:r>
      <w:r>
        <w:t xml:space="preserve"> </w:t>
      </w:r>
      <w:r>
        <w:t xml:space="preserve">of assumptions.</w:t>
      </w:r>
    </w:p>
    <w:p>
      <w:pPr>
        <w:pStyle w:val="CaptionedFigure"/>
      </w:pPr>
      <w:r>
        <w:drawing>
          <wp:inline>
            <wp:extent cx="5334000" cy="3189861"/>
            <wp:effectExtent b="0" l="0" r="0" t="0"/>
            <wp:docPr descr="Weight-sensitivity analysis: change in high-risk area per +/-0.10 weight perturbation" title="" id="67" name="Picture"/>
            <a:graphic>
              <a:graphicData uri="http://schemas.openxmlformats.org/drawingml/2006/picture">
                <pic:pic>
                  <pic:nvPicPr>
                    <pic:cNvPr descr="../D_dashboard/figures/C5_weight_sensitivity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Weight-sensitivity analysis: change in high-risk area per +/-0.10 weight perturbation</w:t>
      </w:r>
    </w:p>
    <w:bookmarkEnd w:id="69"/>
    <w:bookmarkStart w:id="70" w:name="delivered-outputs"/>
    <w:p>
      <w:pPr>
        <w:pStyle w:val="Heading2"/>
      </w:pPr>
      <w:r>
        <w:t xml:space="preserve">4.5 Delivered outputs</w:t>
      </w:r>
    </w:p>
    <w:p>
      <w:pPr>
        <w:pStyle w:val="FirstParagraph"/>
      </w:pPr>
      <w:r>
        <w:t xml:space="preserve">Per run the pipeline exports a 5-class risk map, a continuous risk index, the</w:t>
      </w:r>
      <w:r>
        <w:t xml:space="preserve"> </w:t>
      </w:r>
      <w:r>
        <w:t xml:space="preserve">underlying value and threat layers, a ranked hotspot vector layer, and the five</w:t>
      </w:r>
      <w:r>
        <w:t xml:space="preserve"> </w:t>
      </w:r>
      <w:r>
        <w:t xml:space="preserve">threat context layers — all consumed directly by the interactive dashboard</w:t>
      </w:r>
      <w:r>
        <w:t xml:space="preserve"> </w:t>
      </w:r>
      <w:r>
        <w:t xml:space="preserve">(Section 5).</w:t>
      </w:r>
    </w:p>
    <w:bookmarkEnd w:id="70"/>
    <w:bookmarkEnd w:id="71"/>
    <w:bookmarkStart w:id="75" w:name="impact"/>
    <w:p>
      <w:pPr>
        <w:pStyle w:val="Heading1"/>
      </w:pPr>
      <w:r>
        <w:t xml:space="preserve">5. Impact</w:t>
      </w:r>
    </w:p>
    <w:bookmarkStart w:id="72" w:name="local-abu-dhabi-uae"/>
    <w:p>
      <w:pPr>
        <w:pStyle w:val="Heading2"/>
      </w:pPr>
      <w:r>
        <w:t xml:space="preserve">5.1 Local — Abu Dhabi / UAE</w:t>
      </w:r>
    </w:p>
    <w:p>
      <w:pPr>
        <w:pStyle w:val="FirstParagraph"/>
      </w:pPr>
      <w:r>
        <w:rPr>
          <w:b/>
          <w:bCs/>
        </w:rPr>
        <w:t xml:space="preserve">Prioritised action.</w:t>
      </w:r>
      <w:r>
        <w:t xml:space="preserve"> </w:t>
      </w:r>
      <w:r>
        <w:t xml:space="preserve">The 105 ranked hotspots answer a specific question for</w:t>
      </w:r>
      <w:r>
        <w:t xml:space="preserve"> </w:t>
      </w:r>
      <w:r>
        <w:t xml:space="preserve">regulators: given limited enforcement, monitoring, or restoration budget, where</w:t>
      </w:r>
      <w:r>
        <w:t xml:space="preserve"> </w:t>
      </w:r>
      <w:r>
        <w:t xml:space="preserve">first? Rather than a generic habitat map, they rank concrete locations by habitat</w:t>
      </w:r>
      <w:r>
        <w:t xml:space="preserve"> </w:t>
      </w:r>
      <w:r>
        <w:t xml:space="preserve">value × real pressure — directly informing where a protected-area boundary</w:t>
      </w:r>
      <w:r>
        <w:t xml:space="preserve"> </w:t>
      </w:r>
      <w:r>
        <w:t xml:space="preserve">review, a dredging-permit condition, or a monitoring buoy should go.</w:t>
      </w:r>
    </w:p>
    <w:p>
      <w:pPr>
        <w:pStyle w:val="BodyText"/>
      </w:pPr>
      <w:r>
        <w:rPr>
          <w:b/>
          <w:bCs/>
        </w:rPr>
        <w:t xml:space="preserve">A monitoring baseline, not a snapshot.</w:t>
      </w:r>
      <w:r>
        <w:t xml:space="preserve"> </w:t>
      </w:r>
      <w:r>
        <w:t xml:space="preserve">Built entirely on free, continuously</w:t>
      </w:r>
      <w:r>
        <w:t xml:space="preserve"> </w:t>
      </w:r>
      <w:r>
        <w:t xml:space="preserve">updated Sentinel-2 / Landsat data, the pipeline re-runs at near-zero marginal</w:t>
      </w:r>
      <w:r>
        <w:t xml:space="preserve"> </w:t>
      </w:r>
      <w:r>
        <w:t xml:space="preserve">cost; the 2019→2024 change layer already shows it can track whether hotspots</w:t>
      </w:r>
      <w:r>
        <w:t xml:space="preserve"> </w:t>
      </w:r>
      <w:r>
        <w:t xml:space="preserve">stabilise, worsen, or respond to intervention.</w:t>
      </w:r>
    </w:p>
    <w:p>
      <w:pPr>
        <w:pStyle w:val="BodyText"/>
      </w:pPr>
      <w:r>
        <w:rPr>
          <w:b/>
          <w:bCs/>
        </w:rPr>
        <w:t xml:space="preserve">Serving the reserve’s mandate.</w:t>
      </w:r>
      <w:r>
        <w:t xml:space="preserve"> </w:t>
      </w:r>
      <w:r>
        <w:t xml:space="preserve">The Marawah Reserve’s UNESCO / MPA status</w:t>
      </w:r>
      <w:r>
        <w:t xml:space="preserve"> </w:t>
      </w:r>
      <w:r>
        <w:t xml:space="preserve">commits it to evidence-based management; the 3× zonal finding gives that mandate</w:t>
      </w:r>
      <w:r>
        <w:t xml:space="preserve"> </w:t>
      </w:r>
      <w:r>
        <w:t xml:space="preserve">a concrete, quantified starting point rather than a general claim that</w:t>
      </w:r>
      <w:r>
        <w:t xml:space="preserve"> </w:t>
      </w:r>
      <w:r>
        <w:t xml:space="preserve">“the core</w:t>
      </w:r>
      <w:r>
        <w:t xml:space="preserve"> </w:t>
      </w:r>
      <w:r>
        <w:t xml:space="preserve">matters.”</w:t>
      </w:r>
    </w:p>
    <w:bookmarkEnd w:id="72"/>
    <w:bookmarkStart w:id="73" w:name="regional-and-global"/>
    <w:p>
      <w:pPr>
        <w:pStyle w:val="Heading2"/>
      </w:pPr>
      <w:r>
        <w:t xml:space="preserve">5.2 Regional and global</w:t>
      </w:r>
    </w:p>
    <w:p>
      <w:pPr>
        <w:pStyle w:val="FirstParagraph"/>
      </w:pPr>
      <w:r>
        <w:t xml:space="preserve">The exposure × consequence structure, threat factors, and validation approach</w:t>
      </w:r>
      <w:r>
        <w:t xml:space="preserve"> </w:t>
      </w:r>
      <w:r>
        <w:t xml:space="preserve">are not specific to seagrass or the Gulf: the same recipe — combine a</w:t>
      </w:r>
      <w:r>
        <w:t xml:space="preserve"> </w:t>
      </w:r>
      <w:r>
        <w:t xml:space="preserve">habitat-value layer with a weighted, distance-decayed threat overlay, validate</w:t>
      </w:r>
      <w:r>
        <w:t xml:space="preserve"> </w:t>
      </w:r>
      <w:r>
        <w:t xml:space="preserve">against ground truth, stress-test the weights — transfers to other</w:t>
      </w:r>
      <w:r>
        <w:t xml:space="preserve"> </w:t>
      </w:r>
      <w:r>
        <w:t xml:space="preserve">single-species, satellite-visible marine habitats, from dugongs elsewhere in the</w:t>
      </w:r>
      <w:r>
        <w:t xml:space="preserve"> </w:t>
      </w:r>
      <w:r>
        <w:t xml:space="preserve">Indo-Pacific to manatee seagrass in the Americas. Because it relies only on free</w:t>
      </w:r>
      <w:r>
        <w:t xml:space="preserve"> </w:t>
      </w:r>
      <w:r>
        <w:t xml:space="preserve">imagery and open tooling, the barrier to adoption is know-how, not cost or</w:t>
      </w:r>
      <w:r>
        <w:t xml:space="preserve"> </w:t>
      </w:r>
      <w:r>
        <w:t xml:space="preserve">licensing — relevant for lower-resource conservation programmes where commercial</w:t>
      </w:r>
      <w:r>
        <w:t xml:space="preserve"> </w:t>
      </w:r>
      <w:r>
        <w:t xml:space="preserve">imagery or bespoke GIS consulting is not realistic.</w:t>
      </w:r>
    </w:p>
    <w:bookmarkEnd w:id="73"/>
    <w:bookmarkStart w:id="74" w:name="scope-of-these-claims"/>
    <w:p>
      <w:pPr>
        <w:pStyle w:val="Heading2"/>
      </w:pPr>
      <w:r>
        <w:t xml:space="preserve">5.3 Scope of these claims</w:t>
      </w:r>
    </w:p>
    <w:p>
      <w:pPr>
        <w:pStyle w:val="FirstParagraph"/>
      </w:pPr>
      <w:r>
        <w:t xml:space="preserve">Dugong Watch is a working, validated prototype. The impact above is what its</w:t>
      </w:r>
      <w:r>
        <w:t xml:space="preserve"> </w:t>
      </w:r>
      <w:r>
        <w:t xml:space="preserve">outputs enable; realising it means putting the tool in front of the agencies who</w:t>
      </w:r>
      <w:r>
        <w:t xml:space="preserve"> </w:t>
      </w:r>
      <w:r>
        <w:t xml:space="preserve">would use it and replacing schematic inputs with official GIS layers where</w:t>
      </w:r>
      <w:r>
        <w:t xml:space="preserve"> </w:t>
      </w:r>
      <w:r>
        <w:t xml:space="preserve">available. Section 6 sets out these limitations in full — deliberately, because a</w:t>
      </w:r>
      <w:r>
        <w:t xml:space="preserve"> </w:t>
      </w:r>
      <w:r>
        <w:t xml:space="preserve">tool that documents its own assumptions is more trustworthy to act on, not less.</w:t>
      </w:r>
    </w:p>
    <w:bookmarkEnd w:id="74"/>
    <w:bookmarkEnd w:id="75"/>
    <w:bookmarkStart w:id="76" w:name="limitations"/>
    <w:p>
      <w:pPr>
        <w:pStyle w:val="Heading1"/>
      </w:pPr>
      <w:r>
        <w:t xml:space="preserve">6. Limitations</w:t>
      </w:r>
    </w:p>
    <w:p>
      <w:pPr>
        <w:pStyle w:val="FirstParagraph"/>
      </w:pPr>
      <w:r>
        <w:t xml:space="preserve">Stated directly, because transparency is part of the project’s design</w:t>
      </w:r>
      <w:r>
        <w:t xml:space="preserve"> </w:t>
      </w:r>
      <w:r>
        <w:t xml:space="preserve">(Section 1.3).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Threat data is partially schematic: built-infrastructure coordinates</w:t>
      </w:r>
      <w:r>
        <w:t xml:space="preserve"> </w:t>
      </w:r>
      <w:r>
        <w:t xml:space="preserve">are real, but the reserve boundary, dugong-density surface, and navigation</w:t>
      </w:r>
      <w:r>
        <w:t xml:space="preserve"> </w:t>
      </w:r>
      <w:r>
        <w:t xml:space="preserve">routes are documented approximations pending official EAD GIS layers —</w:t>
      </w:r>
      <w:r>
        <w:t xml:space="preserve"> </w:t>
      </w:r>
      <w:r>
        <w:t xml:space="preserve">replacing them would sharpen results without changing the method. There is also</w:t>
      </w:r>
      <w:r>
        <w:t xml:space="preserve"> </w:t>
      </w:r>
      <w:r>
        <w:t xml:space="preserve">a known training-data gap: a pagination bug truncated the non-seagrass training</w:t>
      </w:r>
      <w:r>
        <w:t xml:space="preserve"> </w:t>
      </w:r>
      <w:r>
        <w:t xml:space="preserve">set to 171 of the true 319 polygons; the download is fixed, but the committed</w:t>
      </w:r>
      <w:r>
        <w:t xml:space="preserve"> </w:t>
      </w:r>
      <w:r>
        <w:t xml:space="preserve">results were trained on the smaller set, so retraining on the full 319 is a</w:t>
      </w:r>
      <w:r>
        <w:t xml:space="preserve"> </w:t>
      </w:r>
      <w:r>
        <w:t xml:space="preserve">specific, disclosed next step. Change detection depends on classifier accuracy at</w:t>
      </w:r>
      <w:r>
        <w:t xml:space="preserve"> </w:t>
      </w:r>
      <w:r>
        <w:t xml:space="preserve">both time points, so loss-dominated hotspots should be read alongside the</w:t>
      </w:r>
      <w:r>
        <w:t xml:space="preserve"> </w:t>
      </w:r>
      <w:r>
        <w:t xml:space="preserve">accuracy figures (Section 4.1). Thermal stress uses a summer 2020–2024 median —</w:t>
      </w:r>
      <w:r>
        <w:t xml:space="preserve"> </w:t>
      </w:r>
      <w:r>
        <w:t xml:space="preserve">typical stress, not heatwave frequency.</w:t>
      </w:r>
    </w:p>
    <w:p>
      <w:pPr>
        <w:pStyle w:val="BodyText"/>
      </w:pPr>
      <w:r>
        <w:rPr>
          <w:b/>
          <w:bCs/>
        </w:rPr>
        <w:t xml:space="preserve">Model.</w:t>
      </w:r>
      <w:r>
        <w:t xml:space="preserve"> </w:t>
      </w:r>
      <w:r>
        <w:t xml:space="preserve">The index is</w:t>
      </w:r>
      <w:r>
        <w:t xml:space="preserve"> </w:t>
      </w:r>
      <w:r>
        <w:rPr>
          <w:b/>
          <w:bCs/>
        </w:rPr>
        <w:t xml:space="preserve">relative</w:t>
      </w:r>
      <w:r>
        <w:t xml:space="preserve">, not a calibrated probability of loss.</w:t>
      </w:r>
      <w:r>
        <w:t xml:space="preserve"> </w:t>
      </w:r>
      <w:r>
        <w:t xml:space="preserve">Weights are documented, literature-justified parameters shown robust to ±10%</w:t>
      </w:r>
      <w:r>
        <w:t xml:space="preserve"> </w:t>
      </w:r>
      <w:r>
        <w:t xml:space="preserve">perturbation (Section 4.4), but a different defensible weighting would shift the</w:t>
      </w:r>
      <w:r>
        <w:t xml:space="preserve"> </w:t>
      </w:r>
      <w:r>
        <w:t xml:space="preserve">ranking somewhat. Internal validation (Section 4.3–4.4) shows the method behaves</w:t>
      </w:r>
      <w:r>
        <w:t xml:space="preserve"> </w:t>
      </w:r>
      <w:r>
        <w:t xml:space="preserve">sensibly; it does not field-verify any individual hotspot’s on-the-ground</w:t>
      </w:r>
      <w:r>
        <w:t xml:space="preserve"> </w:t>
      </w:r>
      <w:r>
        <w:t xml:space="preserve">condition — that would need a site visit or independent recent survey.</w:t>
      </w:r>
    </w:p>
    <w:p>
      <w:pPr>
        <w:pStyle w:val="BodyText"/>
      </w:pPr>
      <w:r>
        <w:rPr>
          <w:b/>
          <w:bCs/>
        </w:rPr>
        <w:t xml:space="preserve">Engineering.</w:t>
      </w:r>
      <w:r>
        <w:t xml:space="preserve"> </w:t>
      </w:r>
      <w:r>
        <w:t xml:space="preserve">Earth Engine’s ~5-minute interactive timeout is worked around</w:t>
      </w:r>
      <w:r>
        <w:t xml:space="preserve"> </w:t>
      </w:r>
      <w:r>
        <w:t xml:space="preserve">by caching an intermediate asset once, so the first run after any change requires</w:t>
      </w:r>
      <w:r>
        <w:t xml:space="preserve"> </w:t>
      </w:r>
      <w:r>
        <w:t xml:space="preserve">a several-minute export. The dashboard’s map tiles use non-permanent</w:t>
      </w:r>
      <w:r>
        <w:t xml:space="preserve"> </w:t>
      </w:r>
      <w:r>
        <w:rPr>
          <w:rStyle w:val="VerbatimChar"/>
        </w:rPr>
        <w:t xml:space="preserve">getMapId()</w:t>
      </w:r>
      <w:r>
        <w:t xml:space="preserve"> </w:t>
      </w:r>
      <w:r>
        <w:t xml:space="preserve">tokens that need periodic regeneration (a production version should</w:t>
      </w:r>
      <w:r>
        <w:t xml:space="preserve"> </w:t>
      </w:r>
      <w:r>
        <w:t xml:space="preserve">use static tiles or an Earth Engine App). The dashboard was built and tested by</w:t>
      </w:r>
      <w:r>
        <w:t xml:space="preserve"> </w:t>
      </w:r>
      <w:r>
        <w:t xml:space="preserve">the team, not yet reviewed with the agencies who would use it.</w:t>
      </w:r>
    </w:p>
    <w:p>
      <w:pPr>
        <w:pStyle w:val="BodyText"/>
      </w:pPr>
      <w:r>
        <w:rPr>
          <w:b/>
          <w:bCs/>
        </w:rPr>
        <w:t xml:space="preserve">Not yet done.</w:t>
      </w:r>
      <w:r>
        <w:t xml:space="preserve"> </w:t>
      </w:r>
      <w:r>
        <w:t xml:space="preserve">A standalone before/after seagrass-change figure, a short</w:t>
      </w:r>
      <w:r>
        <w:t xml:space="preserve"> </w:t>
      </w:r>
      <w:r>
        <w:t xml:space="preserve">demonstration video (optional per the entry guide), and field validation of</w:t>
      </w:r>
      <w:r>
        <w:t xml:space="preserve"> </w:t>
      </w:r>
      <w:r>
        <w:t xml:space="preserve">specific hotspots remain open — tracked openly in the repository.</w:t>
      </w:r>
    </w:p>
    <w:bookmarkEnd w:id="76"/>
    <w:bookmarkStart w:id="78" w:name="references"/>
    <w:p>
      <w:pPr>
        <w:pStyle w:val="Heading1"/>
      </w:pPr>
      <w:r>
        <w:t xml:space="preserve">7. References</w:t>
      </w:r>
    </w:p>
    <w:p>
      <w:pPr>
        <w:pStyle w:val="FirstParagraph"/>
      </w:pPr>
      <w:r>
        <w:t xml:space="preserve">References follow APA style (7th edition).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Arkema, K. K., Guannel, G., Verutes, G., Wood, S. A., Guerry, A., Ruckelshaus,</w:t>
      </w:r>
      <w:r>
        <w:t xml:space="preserve"> </w:t>
      </w:r>
      <w:r>
        <w:t xml:space="preserve">M., Kareiva, P., Lacayo, M., &amp; Silver, J. M. (2013). Coastal habitats shield</w:t>
      </w:r>
      <w:r>
        <w:t xml:space="preserve"> </w:t>
      </w:r>
      <w:r>
        <w:t xml:space="preserve">people and property from sea-level rise and storms.</w:t>
      </w:r>
      <w:r>
        <w:t xml:space="preserve"> </w:t>
      </w:r>
      <w:r>
        <w:rPr>
          <w:i/>
          <w:iCs/>
        </w:rPr>
        <w:t xml:space="preserve">Nature Climate Change,</w:t>
      </w:r>
      <w:r>
        <w:rPr>
          <w:i/>
          <w:iCs/>
        </w:rPr>
        <w:t xml:space="preserve"> </w:t>
      </w:r>
      <w:r>
        <w:rPr>
          <w:i/>
          <w:iCs/>
        </w:rPr>
        <w:t xml:space="preserve">3</w:t>
      </w:r>
      <w:r>
        <w:t xml:space="preserve">(10), 913–918.</w:t>
      </w:r>
    </w:p>
    <w:p>
      <w:pPr>
        <w:pStyle w:val="BodyText"/>
      </w:pPr>
      <w:r>
        <w:t xml:space="preserve">Dugong &amp; Seagrass Conservation Project. (n.d.).</w:t>
      </w:r>
      <w:r>
        <w:t xml:space="preserve"> </w:t>
      </w:r>
      <w:r>
        <w:rPr>
          <w:i/>
          <w:iCs/>
        </w:rPr>
        <w:t xml:space="preserve">United Arab Emirates country</w:t>
      </w:r>
      <w:r>
        <w:rPr>
          <w:i/>
          <w:iCs/>
        </w:rPr>
        <w:t xml:space="preserve"> </w:t>
      </w:r>
      <w:r>
        <w:rPr>
          <w:i/>
          <w:iCs/>
        </w:rPr>
        <w:t xml:space="preserve">page</w:t>
      </w:r>
      <w:r>
        <w:t xml:space="preserve">. UNEP/CMS Dugong MOU. Retrieved from https://www.dugongconservation.org</w:t>
      </w:r>
    </w:p>
    <w:p>
      <w:pPr>
        <w:pStyle w:val="BodyText"/>
      </w:pPr>
      <w:r>
        <w:t xml:space="preserve">Environment Agency – Abu Dhabi. (2015).</w:t>
      </w:r>
      <w:r>
        <w:t xml:space="preserve"> </w:t>
      </w:r>
      <w:r>
        <w:rPr>
          <w:i/>
          <w:iCs/>
        </w:rPr>
        <w:t xml:space="preserve">Aerial survey of dugongs in Abu Dhabi</w:t>
      </w:r>
      <w:r>
        <w:rPr>
          <w:i/>
          <w:iCs/>
        </w:rPr>
        <w:t xml:space="preserve"> </w:t>
      </w:r>
      <w:r>
        <w:rPr>
          <w:i/>
          <w:iCs/>
        </w:rPr>
        <w:t xml:space="preserve">waters</w:t>
      </w:r>
      <w:r>
        <w:t xml:space="preserve">. Environment Agency – Abu Dhabi.</w:t>
      </w:r>
    </w:p>
    <w:p>
      <w:pPr>
        <w:pStyle w:val="BodyText"/>
      </w:pPr>
      <w:r>
        <w:t xml:space="preserve">Environment Agency – Abu Dhabi. (n.d.).</w:t>
      </w:r>
      <w:r>
        <w:t xml:space="preserve"> </w:t>
      </w:r>
      <w:r>
        <w:rPr>
          <w:i/>
          <w:iCs/>
        </w:rPr>
        <w:t xml:space="preserve">Marawah Marine Biosphere Reserve —</w:t>
      </w:r>
      <w:r>
        <w:rPr>
          <w:i/>
          <w:iCs/>
        </w:rPr>
        <w:t xml:space="preserve"> </w:t>
      </w:r>
      <w:r>
        <w:rPr>
          <w:i/>
          <w:iCs/>
        </w:rPr>
        <w:t xml:space="preserve">Sheikh Zayed Protected Areas Network</w:t>
      </w:r>
      <w:r>
        <w:t xml:space="preserve">. Environment Agency – Abu Dhabi.</w:t>
      </w:r>
    </w:p>
    <w:p>
      <w:pPr>
        <w:pStyle w:val="BodyText"/>
      </w:pPr>
      <w:r>
        <w:t xml:space="preserve">Halpern, B. S., Walbridge, S., Selkoe, K. A., Kappel, C. V., Micheli, F.,</w:t>
      </w:r>
      <w:r>
        <w:t xml:space="preserve"> </w:t>
      </w:r>
      <w:r>
        <w:t xml:space="preserve">D’Agrosa, C., Bruno, J. F., Casey, K. S., Ebert, C., Fox, H. E., Fujita, R.,</w:t>
      </w:r>
      <w:r>
        <w:t xml:space="preserve"> </w:t>
      </w:r>
      <w:r>
        <w:t xml:space="preserve">Heinemann, D., Lenihan, H. S., Madin, E. M. P., Perry, M. T., Selig, E. R.,</w:t>
      </w:r>
      <w:r>
        <w:t xml:space="preserve"> </w:t>
      </w:r>
      <w:r>
        <w:t xml:space="preserve">Spalding, M., Steneck, R., &amp; Watson, R. (2008). A global map of human impact</w:t>
      </w:r>
      <w:r>
        <w:t xml:space="preserve"> </w:t>
      </w:r>
      <w:r>
        <w:t xml:space="preserve">on marine ecosystems.</w:t>
      </w:r>
      <w:r>
        <w:t xml:space="preserve"> </w:t>
      </w:r>
      <w:r>
        <w:rPr>
          <w:i/>
          <w:iCs/>
        </w:rPr>
        <w:t xml:space="preserve">Science, 319</w:t>
      </w:r>
      <w:r>
        <w:t xml:space="preserve">(5865), 948–952.</w:t>
      </w:r>
    </w:p>
    <w:p>
      <w:pPr>
        <w:pStyle w:val="BodyText"/>
      </w:pPr>
      <w:r>
        <w:t xml:space="preserve">Marine Mammal Protected Areas Task Force. (n.d.).</w:t>
      </w:r>
      <w:r>
        <w:t xml:space="preserve"> </w:t>
      </w:r>
      <w:r>
        <w:rPr>
          <w:i/>
          <w:iCs/>
        </w:rPr>
        <w:t xml:space="preserve">Southern Gulf and coastal</w:t>
      </w:r>
      <w:r>
        <w:rPr>
          <w:i/>
          <w:iCs/>
        </w:rPr>
        <w:t xml:space="preserve"> </w:t>
      </w:r>
      <w:r>
        <w:rPr>
          <w:i/>
          <w:iCs/>
        </w:rPr>
        <w:t xml:space="preserve">waters Important Marine Mammal Area (IMMA)</w:t>
      </w:r>
      <w:r>
        <w:t xml:space="preserve">. IUCN Marine Mammal Protected Areas</w:t>
      </w:r>
      <w:r>
        <w:t xml:space="preserve"> </w:t>
      </w:r>
      <w:r>
        <w:t xml:space="preserve">Task Force. Retrieved from https://www.marinemammalhabitat.org/immas/</w:t>
      </w:r>
    </w:p>
    <w:p>
      <w:pPr>
        <w:pStyle w:val="BodyText"/>
      </w:pPr>
      <w:r>
        <w:t xml:space="preserve">Marsh, H., Penrose, H., Eros, C., &amp; Hughes, J. (2002).</w:t>
      </w:r>
      <w:r>
        <w:t xml:space="preserve"> </w:t>
      </w:r>
      <w:r>
        <w:rPr>
          <w:i/>
          <w:iCs/>
        </w:rPr>
        <w:t xml:space="preserve">Dugong: Status report</w:t>
      </w:r>
      <w:r>
        <w:rPr>
          <w:i/>
          <w:iCs/>
        </w:rPr>
        <w:t xml:space="preserve"> </w:t>
      </w:r>
      <w:r>
        <w:rPr>
          <w:i/>
          <w:iCs/>
        </w:rPr>
        <w:t xml:space="preserve">and action plans for countries and territories</w:t>
      </w:r>
      <w:r>
        <w:t xml:space="preserve">. UNEP/DEWA/RS.02-1. United</w:t>
      </w:r>
      <w:r>
        <w:t xml:space="preserve"> </w:t>
      </w:r>
      <w:r>
        <w:t xml:space="preserve">Nations Environment Programme.</w:t>
      </w:r>
    </w:p>
    <w:p>
      <w:pPr>
        <w:pStyle w:val="BodyText"/>
      </w:pPr>
      <w:r>
        <w:t xml:space="preserve">Marsh, H., O’Shea, T. J., &amp; Reynolds, J. E. (2011).</w:t>
      </w:r>
      <w:r>
        <w:t xml:space="preserve"> </w:t>
      </w:r>
      <w:r>
        <w:rPr>
          <w:i/>
          <w:iCs/>
        </w:rPr>
        <w:t xml:space="preserve">Ecology and 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of the Sirenia: Dugongs and manatees</w:t>
      </w:r>
      <w:r>
        <w:t xml:space="preserve">. Cambridge University Press.</w:t>
      </w:r>
    </w:p>
    <w:p>
      <w:pPr>
        <w:pStyle w:val="BodyText"/>
      </w:pPr>
      <w:r>
        <w:t xml:space="preserve">Natural Capital Project. (n.d.).</w:t>
      </w:r>
      <w:r>
        <w:t xml:space="preserve"> </w:t>
      </w:r>
      <w:r>
        <w:rPr>
          <w:i/>
          <w:iCs/>
        </w:rPr>
        <w:t xml:space="preserve">InVEST user’s guide: Habitat Risk</w:t>
      </w:r>
      <w:r>
        <w:rPr>
          <w:i/>
          <w:iCs/>
        </w:rPr>
        <w:t xml:space="preserve"> </w:t>
      </w:r>
      <w:r>
        <w:rPr>
          <w:i/>
          <w:iCs/>
        </w:rPr>
        <w:t xml:space="preserve">Assessment</w:t>
      </w:r>
      <w:r>
        <w:t xml:space="preserve">. Stanford University, University of Minnesota, Chinese Academy of</w:t>
      </w:r>
      <w:r>
        <w:t xml:space="preserve"> </w:t>
      </w:r>
      <w:r>
        <w:t xml:space="preserve">Sciences, and World Wildlife Fund. Retrieved from</w:t>
      </w:r>
      <w:r>
        <w:t xml:space="preserve"> </w:t>
      </w:r>
      <w:r>
        <w:t xml:space="preserve">https://naturalcapitalproject.stanford.edu/software/invest</w:t>
      </w:r>
    </w:p>
    <w:p>
      <w:pPr>
        <w:pStyle w:val="BodyText"/>
      </w:pPr>
      <w:r>
        <w:t xml:space="preserve">UNESCO Man and the Biosphere Programme. (2007).</w:t>
      </w:r>
      <w:r>
        <w:t xml:space="preserve"> </w:t>
      </w:r>
      <w:r>
        <w:rPr>
          <w:i/>
          <w:iCs/>
        </w:rPr>
        <w:t xml:space="preserve">Marawah Biosphere Reserve,</w:t>
      </w:r>
      <w:r>
        <w:rPr>
          <w:i/>
          <w:iCs/>
        </w:rPr>
        <w:t xml:space="preserve"> </w:t>
      </w:r>
      <w:r>
        <w:rPr>
          <w:i/>
          <w:iCs/>
        </w:rPr>
        <w:t xml:space="preserve">United Arab Emirates</w:t>
      </w:r>
      <w:r>
        <w:t xml:space="preserve">. United Nations Educational, Scientific and Cultural</w:t>
      </w:r>
      <w:r>
        <w:t xml:space="preserve"> </w:t>
      </w:r>
      <w:r>
        <w:t xml:space="preserve">Organization.</w:t>
      </w:r>
    </w:p>
    <w:p>
      <w:r>
        <w:pict>
          <v:rect style="width:0;height:1.5pt" o:hralign="center" o:hrstd="t" o:hr="t"/>
        </w:pict>
      </w:r>
    </w:p>
    <w:bookmarkStart w:id="77" w:name="X84fc92f875cd9a0d499aff9f14f6b65fb1292bd"/>
    <w:p>
      <w:pPr>
        <w:pStyle w:val="Heading2"/>
      </w:pPr>
      <w:r>
        <w:t xml:space="preserve">Data sources (not literature, but requiring attribution)</w:t>
      </w:r>
    </w:p>
    <w:p>
      <w:pPr>
        <w:pStyle w:val="Compact"/>
        <w:numPr>
          <w:ilvl w:val="0"/>
          <w:numId w:val="1005"/>
        </w:numPr>
      </w:pPr>
      <w:r>
        <w:t xml:space="preserve">Copernicus Sentinel-2 imagery, European Space Agency (ESA), accessed via</w:t>
      </w:r>
      <w:r>
        <w:t xml:space="preserve"> </w:t>
      </w:r>
      <w:r>
        <w:t xml:space="preserve">Google Earth Engine.</w:t>
      </w:r>
    </w:p>
    <w:p>
      <w:pPr>
        <w:pStyle w:val="Compact"/>
        <w:numPr>
          <w:ilvl w:val="0"/>
          <w:numId w:val="1005"/>
        </w:numPr>
      </w:pPr>
      <w:r>
        <w:t xml:space="preserve">Landsat 8/9 Collection 2 Level-2 imagery, USGS/NASA, accessed via Google</w:t>
      </w:r>
      <w:r>
        <w:t xml:space="preserve"> </w:t>
      </w:r>
      <w:r>
        <w:t xml:space="preserve">Earth Engine.</w:t>
      </w:r>
    </w:p>
    <w:p>
      <w:pPr>
        <w:pStyle w:val="Compact"/>
        <w:numPr>
          <w:ilvl w:val="0"/>
          <w:numId w:val="1005"/>
        </w:numPr>
      </w:pPr>
      <w:r>
        <w:t xml:space="preserve">Marine habitat vector data: Environment Agency – Abu Dhabi (EAD).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27" Target="media/rId27.png" /><Relationship Type="http://schemas.openxmlformats.org/officeDocument/2006/relationships/image" Id="rId58" Target="media/rId58.png" /><Relationship Type="http://schemas.openxmlformats.org/officeDocument/2006/relationships/image" Id="rId66" Target="media/rId66.png" /><Relationship Type="http://schemas.openxmlformats.org/officeDocument/2006/relationships/image" Id="rId61" Target="media/rId61.png" /><Relationship Type="http://schemas.openxmlformats.org/officeDocument/2006/relationships/image" Id="rId13" Target="media/rId13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Dugong Watch</dc:title>
  <dc:creator/>
  <cp:keywords/>
  <dcterms:created xsi:type="dcterms:W3CDTF">2026-07-31T05:06:34Z</dcterms:created>
  <dcterms:modified xsi:type="dcterms:W3CDTF">2026-07-31T05:06:34Z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