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Annotation Guidelines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Gold-standard skill annotation of UK data analyst job postings — v1.1 (ToR-aligned), July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Task definition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Each posting in the gold-standard sample (n = 300, stratified by role family from the 927-posting corpus, IDs from uk_analyst_corpus_v2_clean.csv) is annotated with a binary value for each of 13 skill categories: 1 if the posting explicitly mentions the skill (per the rules in Section 2), 0 otherwise. Categories are not mutually exclusive; a posting may be tagged with any number of categories, including zero. A 14th column, Other, captures explicitly named skills that fit no category.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addition, each posting receives exactly one seniority label (junior / mid / senior / unspecified; Section 5) and exactly one role family label (Section 6), per the project Terms of Reference.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Annotation is performed on the full posting text (job_summary field). The unit of annotation is the whole posting, not the sentence. Skill categories are annotated identically for every role family: a finance analyst posting that never mentions SQL simply receives 0 — low frequencies in a family are findings, not annotation errors.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The core rule: explicit mention only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category is tagged 1 only if the posting explicitly names the skill or a tool/term in that category’s lexicon (Section 3). The annotator does not infer skills from context, role type, or domain knowledge.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Counts: </w:t>
      </w:r>
      <w:r>
        <w:rPr>
          <w:rFonts w:ascii="Calibri" w:cs="Calibri" w:eastAsia="Calibri" w:hAnsi="Calibri"/>
          <w:sz w:val="22"/>
          <w:szCs w:val="22"/>
        </w:rPr>
        <w:t xml:space="preserve"> “Strong SQL skills required” → database querying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Counts: </w:t>
      </w:r>
      <w:r>
        <w:rPr>
          <w:rFonts w:ascii="Calibri" w:cs="Calibri" w:eastAsia="Calibri" w:hAnsi="Calibri"/>
          <w:sz w:val="22"/>
          <w:szCs w:val="22"/>
        </w:rPr>
        <w:t xml:space="preserve"> “Experience with Tableau or similar” → data visualisation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Counts: </w:t>
      </w:r>
      <w:r>
        <w:rPr>
          <w:rFonts w:ascii="Calibri" w:cs="Calibri" w:eastAsia="Calibri" w:hAnsi="Calibri"/>
          <w:sz w:val="22"/>
          <w:szCs w:val="22"/>
        </w:rPr>
        <w:t xml:space="preserve"> “It would be great if you’ve used Python” (desirable, not essential) → programming = 1. Desirable skills count: the posting is signalling market demand, which is the object of study.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 count: </w:t>
      </w:r>
      <w:r>
        <w:rPr>
          <w:rFonts w:ascii="Calibri" w:cs="Calibri" w:eastAsia="Calibri" w:hAnsi="Calibri"/>
          <w:sz w:val="22"/>
          <w:szCs w:val="22"/>
        </w:rPr>
        <w:t xml:space="preserve"> “You will work with large datasets” → does NOT imply SQL, big data, or databases. No tag without a named skill.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 count: </w:t>
      </w:r>
      <w:r>
        <w:rPr>
          <w:rFonts w:ascii="Calibri" w:cs="Calibri" w:eastAsia="Calibri" w:hAnsi="Calibri"/>
          <w:sz w:val="22"/>
          <w:szCs w:val="22"/>
        </w:rPr>
        <w:t xml:space="preserve"> Skills mentioned only in the company boilerplate (“we are a leader in cloud solutions”) rather than as requirements or activities of the role → no tag.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 count: </w:t>
      </w:r>
      <w:r>
        <w:rPr>
          <w:rFonts w:ascii="Calibri" w:cs="Calibri" w:eastAsia="Calibri" w:hAnsi="Calibri"/>
          <w:sz w:val="22"/>
          <w:szCs w:val="22"/>
        </w:rPr>
        <w:t xml:space="preserve"> Job title alone. Tags are grounded in the posting body. (“Power BI Analyst” whose body never mentions Power BI → no visualisation tag; record in notes — in practice this is rare.)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Rationale: implied skills cannot be annotated consistently and cannot be fairly compared against automated methods that see only the text. The explicit-mention rule makes every annotation decision auditable against a specific text span.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Category definitions and lexicons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lexicons below are the working synonym tables (Tier 2) for each category. They are seed lists, not closed lists: an unambiguous synonym or tool of the category counts even if absent from the lexicon — add it to the lexicon and note the posting ID. Matching is case-insensitive and tolerant of spacing/hyphenation variants (“PowerBI”, “Power-BI”, “power bi”).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— tag 1 when the posting explicitly mentions…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Lexicon (seed list)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Programming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of a general-purpose programming or scripting language for analysis or automation.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Python; R; Scala; Java; VBA; Bash; shell scripting; “programming”, “coding”, “scripting” when named as a requirement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Database querying (SQL)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Querying, manipulating, or managing data held in databases.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SQL; T-SQL; PL/SQL; MySQL; PostgreSQL; SQL Server; Oracle; MongoDB; NoSQL; BigQuery (as query tool); “databases” when named as a skill requirement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Data visualisation / BI tools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visual, exploratory, or interactive representations of data, or use of a named BI/visualisation tool.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BI; Tableau; Looker; Qlik/QlikView; Alteryx; “data visualisation”; “dashboards” (building them); charts/graphs as a named activity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Reporting / dashboarding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Producing, maintaining, or distributing recurring or ad-hoc reports and management information.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reporting; report writing/building; MI reports; management reporting; KPI reporting; SSRS; Crystal Reports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Spreadsheets (Excel)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of spreadsheet software.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Excel; Microsoft Excel; Google Sheets; pivot tables; VLOOKUP; spreadsheets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 Statistical analysis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of statistical methods or named statistical software.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statistics; statistical analysis/modelling; regression; forecasting; hypothesis testing; A/B testing; SAS; SPSS; MATLAB; Minitab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 Machine learning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or applying machine learning / predictive / AI models.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machine learning; ML; predictive modelling; AI/artificial intelligence (as a practised skill); TensorFlow; PyTorch; scikit-learn; deep learning; NLP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 Data cleaning / preparation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Preparing raw data for analysis: cleansing, validation, quality assurance, wrangling.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cleaning/cleansing; data preparation; data wrangling; data quality; data validation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 Data engineering / ETL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or maintaining data pipelines, integration processes, or data warehouse infrastructure. Includes big data tooling (merged category).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ETL; ELT; data pipelines; data warehouse/warehousing; SSIS; Informatica; Airflow; Kafka; Spark; Snowflake; Redshift; Hadoop; big data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 Data modelling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Designing the structure of data: schemas, dimensional models, entity relationships.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model(ling); dimensional modelling; star schema; entity-relationship; Erwin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 Cloud platforms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of a named cloud computing platform or service.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AWS; Amazon Web Services; Azure; GCP; Google Cloud; Databricks; S3; EC2; “cloud” as a named environment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 Stakeholder communication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Communicating findings to, or working directly with, stakeholders or non-technical audiences, where named as a requirement.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stakeholder management/engagement; presenting/presentations; communication skills; data storytelling; “translate findings for non-technical audiences”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13. Data ethics / governance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protection, privacy, governance, or regulatory compliance relating to data.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GDPR; data protection; data governance; data privacy; data ethics; information security compliance (data context)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 Other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explicitly named data-analysis skill that fits none of the above. Record the skill verbatim in the notes column.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 Git/version control; data mining; web scraping; GIS — formerly candidate categories, now logged here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3.1 Boundary rules for known confusions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Visualisation vs reporting:</w:t>
      </w:r>
      <w:r>
        <w:rPr>
          <w:rFonts w:ascii="Calibri" w:cs="Calibri" w:eastAsia="Calibri" w:hAnsi="Calibri"/>
          <w:sz w:val="22"/>
          <w:szCs w:val="22"/>
        </w:rPr>
        <w:t xml:space="preserve"> Building dashboards or visuals / a named visualisation tool → visualisation (3). Producing or distributing reports/MI as an activity → reporting (4). A posting that says “build Power BI dashboards and deliver monthly MI reports” →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“Reporting to…”:</w:t>
      </w:r>
      <w:r>
        <w:rPr>
          <w:rFonts w:ascii="Calibri" w:cs="Calibri" w:eastAsia="Calibri" w:hAnsi="Calibri"/>
          <w:sz w:val="22"/>
          <w:szCs w:val="22"/>
        </w:rPr>
        <w:t xml:space="preserve"> “Reporting to the Head of Data” or “reporting lines” describes organisational structure, not the reporting skill → no tag. This is the most common false positive; read the sentence.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 tools:</w:t>
      </w:r>
      <w:r>
        <w:rPr>
          <w:rFonts w:ascii="Calibri" w:cs="Calibri" w:eastAsia="Calibri" w:hAnsi="Calibri"/>
          <w:sz w:val="22"/>
          <w:szCs w:val="22"/>
        </w:rPr>
        <w:t xml:space="preserve"> Power BI, Tableau, Qlik → visualisation (3), even though they are “BI tools”. There is no standalone business-intelligence category (cut as non-discriminative); the generic phrase “business intelligence” alone, with no named tool or activity, receives no tag.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ETL vs data modelling:</w:t>
      </w:r>
      <w:r>
        <w:rPr>
          <w:rFonts w:ascii="Calibri" w:cs="Calibri" w:eastAsia="Calibri" w:hAnsi="Calibri"/>
          <w:sz w:val="22"/>
          <w:szCs w:val="22"/>
        </w:rPr>
        <w:t xml:space="preserve"> Moving/integrating data, pipelines, warehousing → ETL (9). Designing schemas or dimensional models → modelling (10). “Design and build the data warehouse” →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Excel with VBA:</w:t>
      </w:r>
      <w:r>
        <w:rPr>
          <w:rFonts w:ascii="Calibri" w:cs="Calibri" w:eastAsia="Calibri" w:hAnsi="Calibri"/>
          <w:sz w:val="22"/>
          <w:szCs w:val="22"/>
        </w:rPr>
        <w:t xml:space="preserve"> “Excel including VBA/macros” → spreadsheets (5) AND programming (1). Excel alone → spreadsheets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Statistics vs ML:</w:t>
      </w:r>
      <w:r>
        <w:rPr>
          <w:rFonts w:ascii="Calibri" w:cs="Calibri" w:eastAsia="Calibri" w:hAnsi="Calibri"/>
          <w:sz w:val="22"/>
          <w:szCs w:val="22"/>
        </w:rPr>
        <w:t xml:space="preserve"> “Statistical modelling” → statistics (6). “Predictive modelling” or “machine learning models” → ML (7). If genuinely ambiguous (“build models” with no qualifier), tag neither and record in notes.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tools:</w:t>
      </w:r>
      <w:r>
        <w:rPr>
          <w:rFonts w:ascii="Calibri" w:cs="Calibri" w:eastAsia="Calibri" w:hAnsi="Calibri"/>
          <w:sz w:val="22"/>
          <w:szCs w:val="22"/>
        </w:rPr>
        <w:t xml:space="preserve"> A named cloud data tool (Snowflake, Redshift, Databricks, BigQuery) → tag the functional category (ETL or SQL) AND cloud (11) only if the cloud platform/environment itself is also named or the tool is unambiguously cloud (Snowflake, Databricks → cloud = 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Communication boilerplate:</w:t>
      </w:r>
      <w:r>
        <w:rPr>
          <w:rFonts w:ascii="Calibri" w:cs="Calibri" w:eastAsia="Calibri" w:hAnsi="Calibri"/>
          <w:sz w:val="22"/>
          <w:szCs w:val="22"/>
        </w:rPr>
        <w:t xml:space="preserve"> Generic soft-skill boilerplate (“team player”, “good communication” listed among generic attributes) → stakeholder communication (12) only when communication with stakeholders / non-technical audiences / presenting findings is named as part of the role. A bare “excellent communication skills” in a list of personal attributes → tag 1 but record in notes during the pilot; this boundary will be reviewed after pilot annotation.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Edge case procedure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When uncertain, apply the explicit-mention rule conservatively: no named skill, no tag.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Record every uncertain decision in the notes column with the posting ID and the text span in question.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Decide each recurring edge case once, add the decision to these guidelines (Section 3.1), and apply it to all postings — including re-checking earlier postings if the decision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Guidelines are versioned: pilot runs on v1.1; revisions from the pilot produce v1.2, which governs the full annotation. Pilot annotations are discarded and the 20 pilot postings re-annotated under v1.1.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Seniority field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Exactly one label per posting: junior / mid / senior / unspecified.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1 (title precedence):</w:t>
      </w:r>
      <w:r>
        <w:rPr>
          <w:rFonts w:ascii="Calibri" w:cs="Calibri" w:eastAsia="Calibri" w:hAnsi="Calibri"/>
          <w:sz w:val="22"/>
          <w:szCs w:val="22"/>
        </w:rPr>
        <w:t xml:space="preserve"> the job title decides. “Senior”, “Lead”, “Principal” → senior. “Junior”, “Graduate”, “Trainee”, “Entry-level” → junior. “Mid-level” or “Analyst II” → mid.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2 (body evidence):</w:t>
      </w:r>
      <w:r>
        <w:rPr>
          <w:rFonts w:ascii="Calibri" w:cs="Calibri" w:eastAsia="Calibri" w:hAnsi="Calibri"/>
          <w:sz w:val="22"/>
          <w:szCs w:val="22"/>
        </w:rPr>
        <w:t xml:space="preserve"> if the title is silent, explicit body statements decide: “entry-level”/“no experience required” → junior; stated requirement of 5+ years → senior; 2–4 years → mid.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3 (default):</w:t>
      </w:r>
      <w:r>
        <w:rPr>
          <w:rFonts w:ascii="Calibri" w:cs="Calibri" w:eastAsia="Calibri" w:hAnsi="Calibri"/>
          <w:sz w:val="22"/>
          <w:szCs w:val="22"/>
        </w:rPr>
        <w:t xml:space="preserve"> otherwise → unspecified. Do not infer seniority from salary, responsibilities, or tone.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4 (conflict):</w:t>
      </w:r>
      <w:r>
        <w:rPr>
          <w:rFonts w:ascii="Calibri" w:cs="Calibri" w:eastAsia="Calibri" w:hAnsi="Calibri"/>
          <w:sz w:val="22"/>
          <w:szCs w:val="22"/>
        </w:rPr>
        <w:t xml:space="preserve"> conflicts (senior title, junior-sounding body) → title wins; record in notes.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Role family field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Exactly one label per posting: data analyst / business analyst / finance analyst / marketing analyst / data scientist / analytics engineering. A provisional label derived from title rules is pre-filled in the annotation sheet (role_family_provisional); the annotator verifies it against the posting body and corrects it where wrong, recording corrections in notes.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Rule:</w:t>
      </w:r>
      <w:r>
        <w:rPr>
          <w:rFonts w:ascii="Calibri" w:cs="Calibri" w:eastAsia="Calibri" w:hAnsi="Calibri"/>
          <w:sz w:val="22"/>
          <w:szCs w:val="22"/>
        </w:rPr>
        <w:t xml:space="preserve"> the advertised role’s primary function decides, from title first, body second. BI / insight / reporting / MI analyst titles → data analyst. FP&amp;A, commercial, financial, treasury → finance analyst. Web/digital analytics → marketing analyst.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Hybrids:</w:t>
      </w:r>
      <w:r>
        <w:rPr>
          <w:rFonts w:ascii="Calibri" w:cs="Calibri" w:eastAsia="Calibri" w:hAnsi="Calibri"/>
          <w:sz w:val="22"/>
          <w:szCs w:val="22"/>
        </w:rPr>
        <w:t xml:space="preserve"> hybrid titles (“Business Analyst / Data Analyst”) → label by the dominant function described in the body; if genuinely indeterminate, label by the first-listed title and record in notes.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Process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Annotation record:</w:t>
      </w:r>
      <w:r>
        <w:rPr>
          <w:rFonts w:ascii="Calibri" w:cs="Calibri" w:eastAsia="Calibri" w:hAnsi="Calibri"/>
          <w:sz w:val="22"/>
          <w:szCs w:val="22"/>
        </w:rPr>
        <w:t xml:space="preserve"> one row per posting (posting_id), one column per category (values 0/1), one seniority column, one role_family column, one notes column. File: gold_standard_annotations.xlsx, built from gold_standard_sample_300.csv.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Pilot:</w:t>
      </w:r>
      <w:r>
        <w:rPr>
          <w:rFonts w:ascii="Calibri" w:cs="Calibri" w:eastAsia="Calibri" w:hAnsi="Calibri"/>
          <w:sz w:val="22"/>
          <w:szCs w:val="22"/>
        </w:rPr>
        <w:t xml:space="preserve"> annotate the 20 postings in pilot_sample_20_v2.csv (seed 42, minimum two postings per role family) under v1.1; review notes; revise guidelines to v1.1; discard pilot annotations; annotate the full 300-posting gold sample (including the 20) under the revised version.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Consistency check:</w:t>
      </w:r>
      <w:r>
        <w:rPr>
          <w:rFonts w:ascii="Calibri" w:cs="Calibri" w:eastAsia="Calibri" w:hAnsi="Calibri"/>
          <w:sz w:val="22"/>
          <w:szCs w:val="22"/>
        </w:rPr>
        <w:t xml:space="preserve"> after completing the full corpus, re-annotate 20 randomly selected postings no sooner than two weeks after their first annotation, blind to the original labels; report per-category intra-annotator agreement (percentage agreement and Cohen’s kappa) as an annotation-quality indicator.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 annotator:</w:t>
      </w:r>
      <w:r>
        <w:rPr>
          <w:rFonts w:ascii="Calibri" w:cs="Calibri" w:eastAsia="Calibri" w:hAnsi="Calibri"/>
          <w:sz w:val="22"/>
          <w:szCs w:val="22"/>
        </w:rPr>
        <w:t xml:space="preserve"> annotation is performed by a single annotator (the author); this is acknowledged as a limitation, mitigated by the explicit-mention rule, versioned guidelines, and the intra-annotator consistency check.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2026-07-09T13:21:36.498Z</dcterms:created>
  <dcterms:modified xsi:type="dcterms:W3CDTF">2026-07-09T13:21:36.498Z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