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Annotation Guidelines</w:t>
      </w:r>
    </w:p>
    <w:p>
      <w:pPr>
        <w:spacing w:after="300"/>
      </w:pPr>
      <w:r>
        <w:rPr>
          <w:rFonts w:ascii="Calibri" w:cs="Calibri" w:eastAsia="Calibri" w:hAnsi="Calibri"/>
          <w:i/>
          <w:iCs/>
          <w:color w:val="595959"/>
          <w:sz w:val="22"/>
          <w:szCs w:val="22"/>
        </w:rPr>
        <w:t xml:space="preserve">Gold-standard skill annotation of UK data analyst job postings — v1.2 (post-pilot), July 2026</w:t>
      </w:r>
    </w:p>
    <w:p>
      <w:pPr>
        <w:pStyle w:val="Heading1"/>
        <w:spacing w:after="140" w:before="280"/>
      </w:pPr>
      <w:r>
        <w:rPr>
          <w:rFonts w:ascii="Calibri" w:cs="Calibri" w:eastAsia="Calibri" w:hAnsi="Calibri"/>
          <w:b/>
          <w:bCs/>
          <w:color w:val="2F5496"/>
          <w:sz w:val="28"/>
          <w:szCs w:val="28"/>
        </w:rPr>
        <w:t xml:space="preserve">1. Task definition</w:t>
      </w:r>
    </w:p>
    <w:p>
      <w:pPr>
        <w:spacing w:after="120" w:line="276"/>
      </w:pPr>
      <w:r>
        <w:rPr>
          <w:rFonts w:ascii="Calibri" w:cs="Calibri" w:eastAsia="Calibri" w:hAnsi="Calibri"/>
          <w:sz w:val="22"/>
          <w:szCs w:val="22"/>
        </w:rPr>
        <w:t xml:space="preserve">Each posting in the gold-standard sample (n = 300, stratified by role family from the 901-posting corpus (v3: aggregator stubs and non-UK relocation postings removed after the pilot), IDs from uk_analyst_corpus_v3_clean.csv) is annotated with a binary value for each of 13 skill categories: 1 if the posting explicitly mentions the skill (per the rules in Section 2), 0 otherwise. Categories are not mutually exclusive; a posting may be tagged with any number of categories, including zero. A 14th column, Other, captures explicitly named skills that fit no category.</w:t>
      </w:r>
    </w:p>
    <w:p>
      <w:pPr>
        <w:spacing w:after="120" w:line="276"/>
      </w:pPr>
      <w:r>
        <w:rPr>
          <w:rFonts w:ascii="Calibri" w:cs="Calibri" w:eastAsia="Calibri" w:hAnsi="Calibri"/>
          <w:sz w:val="22"/>
          <w:szCs w:val="22"/>
        </w:rPr>
        <w:t xml:space="preserve">In addition, each posting receives exactly one seniority label (junior / mid / senior / unspecified; Section 5) and exactly one role family label (Section 6), per the project Terms of Reference.</w:t>
      </w:r>
    </w:p>
    <w:p>
      <w:pPr>
        <w:spacing w:after="120" w:line="276"/>
      </w:pPr>
      <w:r>
        <w:rPr>
          <w:rFonts w:ascii="Calibri" w:cs="Calibri" w:eastAsia="Calibri" w:hAnsi="Calibri"/>
          <w:sz w:val="22"/>
          <w:szCs w:val="22"/>
        </w:rPr>
        <w:t xml:space="preserve">Annotation is performed on the full posting text (job_summary field). The unit of annotation is the whole posting, not the sentence. Skill categories are annotated identically for every role family: a finance analyst posting that never mentions SQL simply receives 0 — low frequencies in a family are findings, not annotation errors.</w:t>
      </w:r>
    </w:p>
    <w:p>
      <w:pPr>
        <w:pStyle w:val="Heading1"/>
        <w:spacing w:after="140" w:before="280"/>
      </w:pPr>
      <w:r>
        <w:rPr>
          <w:rFonts w:ascii="Calibri" w:cs="Calibri" w:eastAsia="Calibri" w:hAnsi="Calibri"/>
          <w:b/>
          <w:bCs/>
          <w:color w:val="2F5496"/>
          <w:sz w:val="28"/>
          <w:szCs w:val="28"/>
        </w:rPr>
        <w:t xml:space="preserve">2. The core rule: explicit mention only</w:t>
      </w:r>
    </w:p>
    <w:p>
      <w:pPr>
        <w:spacing w:after="120" w:line="276"/>
      </w:pPr>
      <w:r>
        <w:rPr>
          <w:rFonts w:ascii="Calibri" w:cs="Calibri" w:eastAsia="Calibri" w:hAnsi="Calibri"/>
          <w:sz w:val="22"/>
          <w:szCs w:val="22"/>
        </w:rPr>
        <w:t xml:space="preserve">A category is tagged 1 only if the posting explicitly names the skill or a tool/term in that category’s lexicon (Section 3). The annotator does not infer skills from context, role type, or domain knowledge.</w:t>
      </w:r>
    </w:p>
    <w:p>
      <w:pPr>
        <w:pStyle w:val="ListParagraph"/>
        <w:numPr>
          <w:ilvl w:val="0"/>
          <w:numId w:val="2"/>
        </w:numPr>
        <w:spacing w:after="80" w:line="276"/>
      </w:pPr>
      <w:r>
        <w:rPr>
          <w:rFonts w:ascii="Calibri" w:cs="Calibri" w:eastAsia="Calibri" w:hAnsi="Calibri"/>
          <w:b/>
          <w:bCs/>
          <w:sz w:val="22"/>
          <w:szCs w:val="22"/>
        </w:rPr>
        <w:t xml:space="preserve">Counts: </w:t>
      </w:r>
      <w:r>
        <w:rPr>
          <w:rFonts w:ascii="Calibri" w:cs="Calibri" w:eastAsia="Calibri" w:hAnsi="Calibri"/>
          <w:sz w:val="22"/>
          <w:szCs w:val="22"/>
        </w:rPr>
        <w:t xml:space="preserve"> “Strong SQL skills required” → database querying = 1.</w:t>
      </w:r>
    </w:p>
    <w:p>
      <w:pPr>
        <w:pStyle w:val="ListParagraph"/>
        <w:numPr>
          <w:ilvl w:val="0"/>
          <w:numId w:val="2"/>
        </w:numPr>
        <w:spacing w:after="80" w:line="276"/>
      </w:pPr>
      <w:r>
        <w:rPr>
          <w:rFonts w:ascii="Calibri" w:cs="Calibri" w:eastAsia="Calibri" w:hAnsi="Calibri"/>
          <w:b/>
          <w:bCs/>
          <w:sz w:val="22"/>
          <w:szCs w:val="22"/>
        </w:rPr>
        <w:t xml:space="preserve">Counts: </w:t>
      </w:r>
      <w:r>
        <w:rPr>
          <w:rFonts w:ascii="Calibri" w:cs="Calibri" w:eastAsia="Calibri" w:hAnsi="Calibri"/>
          <w:sz w:val="22"/>
          <w:szCs w:val="22"/>
        </w:rPr>
        <w:t xml:space="preserve"> “Experience with Tableau or similar” → data visualisation = 1.</w:t>
      </w:r>
    </w:p>
    <w:p>
      <w:pPr>
        <w:pStyle w:val="ListParagraph"/>
        <w:numPr>
          <w:ilvl w:val="0"/>
          <w:numId w:val="2"/>
        </w:numPr>
        <w:spacing w:after="80" w:line="276"/>
      </w:pPr>
      <w:r>
        <w:rPr>
          <w:rFonts w:ascii="Calibri" w:cs="Calibri" w:eastAsia="Calibri" w:hAnsi="Calibri"/>
          <w:b/>
          <w:bCs/>
          <w:sz w:val="22"/>
          <w:szCs w:val="22"/>
        </w:rPr>
        <w:t xml:space="preserve">Counts: </w:t>
      </w:r>
      <w:r>
        <w:rPr>
          <w:rFonts w:ascii="Calibri" w:cs="Calibri" w:eastAsia="Calibri" w:hAnsi="Calibri"/>
          <w:sz w:val="22"/>
          <w:szCs w:val="22"/>
        </w:rPr>
        <w:t xml:space="preserve"> “It would be great if you’ve used Python” (desirable, not essential) → programming = 1. Desirable skills count: the posting is signalling market demand, which is the object of study.</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“You will work with large datasets” → does NOT imply SQL, big data, or databases. No tag without a named skill.</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Skills mentioned only in the company boilerplate (“we are a leader in cloud solutions”) rather than as requirements or activities of the role → no tag.</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Degree subjects and qualifications. “2:1 in Maths or Statistics” is an education requirement, not a skill mention — no statistics tag. Professional qualifications (CCAB, ACCA, CIMA) likewise receive no tag.</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Job title alone. Tags are grounded in the posting body. (“Power BI Analyst” whose body never mentions Power BI → no visualisation tag; record in notes — in practice this is rare.)</w:t>
      </w:r>
    </w:p>
    <w:p>
      <w:pPr>
        <w:spacing w:after="120" w:line="276"/>
      </w:pPr>
      <w:r>
        <w:rPr>
          <w:rFonts w:ascii="Calibri" w:cs="Calibri" w:eastAsia="Calibri" w:hAnsi="Calibri"/>
          <w:sz w:val="22"/>
          <w:szCs w:val="22"/>
        </w:rPr>
        <w:t xml:space="preserve">Rationale: implied skills cannot be annotated consistently and cannot be fairly compared against automated methods that see only the text. The explicit-mention rule makes every annotation decision auditable against a specific text span.</w:t>
      </w:r>
    </w:p>
    <w:p>
      <w:pPr>
        <w:pStyle w:val="Heading1"/>
        <w:spacing w:after="140" w:before="280"/>
      </w:pPr>
      <w:r>
        <w:rPr>
          <w:rFonts w:ascii="Calibri" w:cs="Calibri" w:eastAsia="Calibri" w:hAnsi="Calibri"/>
          <w:b/>
          <w:bCs/>
          <w:color w:val="2F5496"/>
          <w:sz w:val="28"/>
          <w:szCs w:val="28"/>
        </w:rPr>
        <w:t xml:space="preserve">3. Category definitions and lexicons</w:t>
      </w:r>
    </w:p>
    <w:p>
      <w:pPr>
        <w:spacing w:after="120" w:line="276"/>
      </w:pPr>
      <w:r>
        <w:rPr>
          <w:rFonts w:ascii="Calibri" w:cs="Calibri" w:eastAsia="Calibri" w:hAnsi="Calibri"/>
          <w:sz w:val="22"/>
          <w:szCs w:val="22"/>
        </w:rPr>
        <w:t xml:space="preserve">The lexicons below are the working synonym tables (Tier 2) for each category. They are seed lists, not closed lists: an unambiguous synonym or tool of the category counts even if absent from the lexicon — add it to the lexicon and note the posting ID. Matching is case-insensitive and tolerant of spacing/hyphenation variants (“PowerBI”, “Power-BI”,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Category</w:t>
            </w:r>
          </w:p>
        </w:tc>
        <w:tc>
          <w:tcPr>
            <w:tcW w:type="dxa" w:w="36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Definition — tag 1 when the posting explicitly mentions…</w:t>
            </w:r>
          </w:p>
        </w:tc>
        <w:tc>
          <w:tcPr>
            <w:tcW w:type="dxa" w:w="386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Lexicon (seed list)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1. Programming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Use of a general-purpose programming or scripting language for analysis or automation.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Python; R; Scala; Java; VBA; Bash; shell scripting; “programming”, “coding”, “scripting” when named as a requirement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2. Database querying (SQL)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Querying, manipulating, or managing data held in databases.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SQL; T-SQL; PL/SQL; MySQL; PostgreSQL; SQL Server; Oracle; MongoDB; NoSQL; BigQuery (as query tool); “databases” when named as a skill requirement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3. Data visualisation / BI tools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Building visual, exploratory, or interactive representations of data, or use of a named BI/visualisation tool.</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Power BI; Tableau; Looker; Qlik/QlikView; Alteryx; “data visualisation”; “dashboards” (building them); charts/graphs as a named activity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4. Reporting / dashboarding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Producing, maintaining, or distributing recurring or ad-hoc reports and management information.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reporting; report writing/building; MI reports; management reporting; KPI reporting; SSRS; Crystal Reports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5. Spreadsheets (Excel)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Use of spreadsheet software.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Excel; Microsoft Excel; Google Sheets; pivot tables; VLOOKUP; spreadsheets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6. Statistical analysis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Application of statistical methods or named statistical software.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statistics; statistical analysis/modelling; regression; forecasting; hypothesis testing; A/B testing; SAS; SPSS; MATLAB; Minitab</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7. Machine learning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Building or applying machine learning / predictive / AI models.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machine learning; ML; predictive modelling; AI/artificial intelligence (as a practised skill); TensorFlow; PyTorch; scikit-learn; deep learning; NLP</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8. Data cleaning / preparation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Preparing raw data for analysis: cleansing, validation, quality assurance, wrangling.</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data cleaning/cleansing; data preparation; data wrangling; data quality; data validation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9. Data engineering / ETL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Building or maintaining data pipelines, integration processes, or data warehouse infrastructure. Includes big data tooling (merged category).</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ETL; ELT; data pipelines; data warehouse/warehousing; SSIS; Informatica; Airflow; Kafka; Spark; Snowflake; Redshift; Hadoop; big data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10. Data modelling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Designing the structure of data: schemas, dimensional models, entity relationships.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data model(ling); dimensional modelling; star schema; entity-relationship; Erwin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11. Cloud platforms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Use of a named cloud computing platform or service.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AWS; Amazon Web Services; Azure; GCP; Google Cloud; Databricks; S3; EC2; “cloud” as a named environment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12. Stakeholder communication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Communicating findings to, or working directly with, stakeholders or non-technical audiences, where named as a requirement.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stakeholder management/engagement; presenting/presentations; communication skills; data storytelling; “translate findings for non-technical audiences”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13. Data ethics / governance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Data protection, privacy, governance, or regulatory compliance relating to data.</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GDPR; data protection; data governance; data privacy; data ethics; information security compliance (data context)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14. Other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Any explicitly named data-analysis skill that fits none of the above. Record the skill verbatim in the notes column.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20"/>
                <w:szCs w:val="20"/>
              </w:rPr>
              <w:t xml:space="preserve">e.g. Git/version control; data mining; web scraping; GIS — formerly candidate categories, now logged here</w:t>
            </w:r>
          </w:p>
        </w:tc>
      </w:tr>
    </w:tbl>
    <w:p>
      <w:pPr>
        <w:spacing w:after="120" w:before="200"/>
      </w:pPr>
      <w:r>
        <w:rPr>
          <w:rFonts w:ascii="Calibri" w:cs="Calibri" w:eastAsia="Calibri" w:hAnsi="Calibri"/>
        </w:rPr>
        <w:t xml:space="preserve"/>
      </w:r>
    </w:p>
    <w:p>
      <w:pPr>
        <w:pStyle w:val="Heading2"/>
        <w:spacing w:after="100" w:before="200"/>
      </w:pPr>
      <w:r>
        <w:rPr>
          <w:rFonts w:ascii="Calibri" w:cs="Calibri" w:eastAsia="Calibri" w:hAnsi="Calibri"/>
          <w:b/>
          <w:bCs/>
          <w:color w:val="2F5496"/>
          <w:sz w:val="24"/>
          <w:szCs w:val="24"/>
        </w:rPr>
        <w:t xml:space="preserve">3.1 Boundary rules for known confusions</w:t>
      </w:r>
    </w:p>
    <w:p>
      <w:pPr>
        <w:pStyle w:val="ListParagraph"/>
        <w:numPr>
          <w:ilvl w:val="0"/>
          <w:numId w:val="2"/>
        </w:numPr>
        <w:spacing w:after="80" w:line="276"/>
      </w:pPr>
      <w:r>
        <w:rPr>
          <w:rFonts w:ascii="Calibri" w:cs="Calibri" w:eastAsia="Calibri" w:hAnsi="Calibri"/>
          <w:b/>
          <w:bCs/>
          <w:sz w:val="22"/>
          <w:szCs w:val="22"/>
        </w:rPr>
        <w:t xml:space="preserve">Visualisation vs reporting:</w:t>
      </w:r>
      <w:r>
        <w:rPr>
          <w:rFonts w:ascii="Calibri" w:cs="Calibri" w:eastAsia="Calibri" w:hAnsi="Calibri"/>
          <w:sz w:val="22"/>
          <w:szCs w:val="22"/>
        </w:rPr>
        <w:t xml:space="preserve"> Building dashboards or visuals / a named visualisation tool → visualisation (3). Producing or distributing reports/MI as an activity → reporting (4). A posting that says “build Power BI dashboards and deliver monthly MI reports” → both.</w:t>
      </w:r>
    </w:p>
    <w:p>
      <w:pPr>
        <w:pStyle w:val="ListParagraph"/>
        <w:numPr>
          <w:ilvl w:val="0"/>
          <w:numId w:val="2"/>
        </w:numPr>
        <w:spacing w:after="80" w:line="276"/>
      </w:pPr>
      <w:r>
        <w:rPr>
          <w:rFonts w:ascii="Calibri" w:cs="Calibri" w:eastAsia="Calibri" w:hAnsi="Calibri"/>
          <w:b/>
          <w:bCs/>
          <w:sz w:val="22"/>
          <w:szCs w:val="22"/>
        </w:rPr>
        <w:t xml:space="preserve">“Reporting to…”:</w:t>
      </w:r>
      <w:r>
        <w:rPr>
          <w:rFonts w:ascii="Calibri" w:cs="Calibri" w:eastAsia="Calibri" w:hAnsi="Calibri"/>
          <w:sz w:val="22"/>
          <w:szCs w:val="22"/>
        </w:rPr>
        <w:t xml:space="preserve"> “Reporting to the Head of Data” or “reporting lines” describes organisational structure, not the reporting skill → no tag. This is the most common false positive; read the sentence.</w:t>
      </w:r>
    </w:p>
    <w:p>
      <w:pPr>
        <w:pStyle w:val="ListParagraph"/>
        <w:numPr>
          <w:ilvl w:val="0"/>
          <w:numId w:val="2"/>
        </w:numPr>
        <w:spacing w:after="80" w:line="276"/>
      </w:pPr>
      <w:r>
        <w:rPr>
          <w:rFonts w:ascii="Calibri" w:cs="Calibri" w:eastAsia="Calibri" w:hAnsi="Calibri"/>
          <w:b/>
          <w:bCs/>
          <w:sz w:val="22"/>
          <w:szCs w:val="22"/>
        </w:rPr>
        <w:t xml:space="preserve">BI tools:</w:t>
      </w:r>
      <w:r>
        <w:rPr>
          <w:rFonts w:ascii="Calibri" w:cs="Calibri" w:eastAsia="Calibri" w:hAnsi="Calibri"/>
          <w:sz w:val="22"/>
          <w:szCs w:val="22"/>
        </w:rPr>
        <w:t xml:space="preserve"> Power BI, Tableau, Qlik → visualisation (3), even though they are “BI tools”. There is no standalone business-intelligence category (cut as non-discriminative); the generic phrase “business intelligence” alone, with no named tool or activity, receives no tag.</w:t>
      </w:r>
    </w:p>
    <w:p>
      <w:pPr>
        <w:pStyle w:val="ListParagraph"/>
        <w:numPr>
          <w:ilvl w:val="0"/>
          <w:numId w:val="2"/>
        </w:numPr>
        <w:spacing w:after="80" w:line="276"/>
      </w:pPr>
      <w:r>
        <w:rPr>
          <w:rFonts w:ascii="Calibri" w:cs="Calibri" w:eastAsia="Calibri" w:hAnsi="Calibri"/>
          <w:b/>
          <w:bCs/>
          <w:sz w:val="22"/>
          <w:szCs w:val="22"/>
        </w:rPr>
        <w:t xml:space="preserve">ETL vs data modelling:</w:t>
      </w:r>
      <w:r>
        <w:rPr>
          <w:rFonts w:ascii="Calibri" w:cs="Calibri" w:eastAsia="Calibri" w:hAnsi="Calibri"/>
          <w:sz w:val="22"/>
          <w:szCs w:val="22"/>
        </w:rPr>
        <w:t xml:space="preserve"> Moving/integrating data, pipelines, warehousing → ETL (9). Designing schemas or dimensional models → modelling (10). “Design and build the data warehouse” → both.</w:t>
      </w:r>
    </w:p>
    <w:p>
      <w:pPr>
        <w:pStyle w:val="ListParagraph"/>
        <w:numPr>
          <w:ilvl w:val="0"/>
          <w:numId w:val="2"/>
        </w:numPr>
        <w:spacing w:after="80" w:line="276"/>
      </w:pPr>
      <w:r>
        <w:rPr>
          <w:rFonts w:ascii="Calibri" w:cs="Calibri" w:eastAsia="Calibri" w:hAnsi="Calibri"/>
          <w:b/>
          <w:bCs/>
          <w:sz w:val="22"/>
          <w:szCs w:val="22"/>
        </w:rPr>
        <w:t xml:space="preserve">Excel with VBA:</w:t>
      </w:r>
      <w:r>
        <w:rPr>
          <w:rFonts w:ascii="Calibri" w:cs="Calibri" w:eastAsia="Calibri" w:hAnsi="Calibri"/>
          <w:sz w:val="22"/>
          <w:szCs w:val="22"/>
        </w:rPr>
        <w:t xml:space="preserve"> “Excel including VBA/macros” → spreadsheets (5) AND programming (1). Excel alone → spreadsheets only.</w:t>
      </w:r>
    </w:p>
    <w:p>
      <w:pPr>
        <w:pStyle w:val="ListParagraph"/>
        <w:numPr>
          <w:ilvl w:val="0"/>
          <w:numId w:val="2"/>
        </w:numPr>
        <w:spacing w:after="80" w:line="276"/>
      </w:pPr>
      <w:r>
        <w:rPr>
          <w:rFonts w:ascii="Calibri" w:cs="Calibri" w:eastAsia="Calibri" w:hAnsi="Calibri"/>
          <w:b/>
          <w:bCs/>
          <w:sz w:val="22"/>
          <w:szCs w:val="22"/>
        </w:rPr>
        <w:t xml:space="preserve">Statistics vs ML:</w:t>
      </w:r>
      <w:r>
        <w:rPr>
          <w:rFonts w:ascii="Calibri" w:cs="Calibri" w:eastAsia="Calibri" w:hAnsi="Calibri"/>
          <w:sz w:val="22"/>
          <w:szCs w:val="22"/>
        </w:rPr>
        <w:t xml:space="preserve"> “Statistical modelling” → statistics (6). “Predictive modelling” or “machine learning models” → ML (7). If genuinely ambiguous (“build models” with no qualifier), tag neither and record in notes.</w:t>
      </w:r>
    </w:p>
    <w:p>
      <w:pPr>
        <w:pStyle w:val="ListParagraph"/>
        <w:numPr>
          <w:ilvl w:val="0"/>
          <w:numId w:val="2"/>
        </w:numPr>
        <w:spacing w:after="80" w:line="276"/>
      </w:pPr>
      <w:r>
        <w:rPr>
          <w:rFonts w:ascii="Calibri" w:cs="Calibri" w:eastAsia="Calibri" w:hAnsi="Calibri"/>
          <w:b/>
          <w:bCs/>
          <w:sz w:val="22"/>
          <w:szCs w:val="22"/>
        </w:rPr>
        <w:t xml:space="preserve">Cloud tools:</w:t>
      </w:r>
      <w:r>
        <w:rPr>
          <w:rFonts w:ascii="Calibri" w:cs="Calibri" w:eastAsia="Calibri" w:hAnsi="Calibri"/>
          <w:sz w:val="22"/>
          <w:szCs w:val="22"/>
        </w:rPr>
        <w:t xml:space="preserve"> A named cloud data tool (Snowflake, Redshift, Databricks, BigQuery) → tag the functional category (ETL or SQL) AND cloud (11) only if the cloud platform/environment itself is also named or the tool is unambiguously cloud (Snowflake, Databricks → cloud = 1).</w:t>
      </w:r>
    </w:p>
    <w:p>
      <w:pPr>
        <w:pStyle w:val="ListParagraph"/>
        <w:numPr>
          <w:ilvl w:val="0"/>
          <w:numId w:val="2"/>
        </w:numPr>
        <w:spacing w:after="80" w:line="276"/>
      </w:pPr>
      <w:r>
        <w:rPr>
          <w:rFonts w:ascii="Calibri" w:cs="Calibri" w:eastAsia="Calibri" w:hAnsi="Calibri"/>
          <w:b/>
          <w:bCs/>
          <w:sz w:val="22"/>
          <w:szCs w:val="22"/>
        </w:rPr>
        <w:t xml:space="preserve">Communication boilerplate:</w:t>
      </w:r>
      <w:r>
        <w:rPr>
          <w:rFonts w:ascii="Calibri" w:cs="Calibri" w:eastAsia="Calibri" w:hAnsi="Calibri"/>
          <w:sz w:val="22"/>
          <w:szCs w:val="22"/>
        </w:rPr>
        <w:t xml:space="preserve"> Generic soft-skill boilerplate (“team player”, “good communication” listed among generic attributes) → stakeholder communication (12) only when communication with stakeholders / non-technical audiences / presenting findings is named as part of the role. A bare “excellent communication skills” in a list of personal attributes → tag 1 but record in notes during the pilot; this boundary will be reviewed after pilot annotation.</w:t>
      </w:r>
    </w:p>
    <w:p>
      <w:pPr>
        <w:pStyle w:val="Heading2"/>
        <w:spacing w:after="100" w:before="200"/>
      </w:pPr>
      <w:r>
        <w:rPr>
          <w:rFonts w:ascii="Calibri" w:cs="Calibri" w:eastAsia="Calibri" w:hAnsi="Calibri"/>
          <w:b/>
          <w:bCs/>
          <w:color w:val="2F5496"/>
          <w:sz w:val="24"/>
          <w:szCs w:val="24"/>
        </w:rPr>
        <w:t xml:space="preserve">3.2 Rules added after the pilot (v1.2)</w:t>
      </w:r>
    </w:p>
    <w:p>
      <w:pPr>
        <w:pStyle w:val="ListParagraph"/>
        <w:numPr>
          <w:ilvl w:val="0"/>
          <w:numId w:val="2"/>
        </w:numPr>
        <w:spacing w:after="80" w:line="276"/>
      </w:pPr>
      <w:r>
        <w:rPr>
          <w:rFonts w:ascii="Calibri" w:cs="Calibri" w:eastAsia="Calibri" w:hAnsi="Calibri"/>
          <w:b/>
          <w:bCs/>
          <w:sz w:val="22"/>
          <w:szCs w:val="22"/>
        </w:rPr>
        <w:t xml:space="preserve">Financial-domain terms:</w:t>
      </w:r>
      <w:r>
        <w:rPr>
          <w:rFonts w:ascii="Calibri" w:cs="Calibri" w:eastAsia="Calibri" w:hAnsi="Calibri"/>
          <w:sz w:val="22"/>
          <w:szCs w:val="22"/>
        </w:rPr>
        <w:t xml:space="preserve"> annotation is lexicon-literal. “Forecasting” is in the statistics lexicon and is tagged 1 wherever it appears, including financial forecasting — the automated methods see the same word, and domain-dependent human judgement would be unfair to them and inconsistent over 300 postings. Conversely “financial modelling” is NOT in the data modelling lexicon (which requires data model / schema / dimensional terms) and receives no data_modelling tag; record it in other for finance postings.</w:t>
      </w:r>
    </w:p>
    <w:p>
      <w:pPr>
        <w:pStyle w:val="ListParagraph"/>
        <w:numPr>
          <w:ilvl w:val="0"/>
          <w:numId w:val="2"/>
        </w:numPr>
        <w:spacing w:after="80" w:line="276"/>
      </w:pPr>
      <w:r>
        <w:rPr>
          <w:rFonts w:ascii="Calibri" w:cs="Calibri" w:eastAsia="Calibri" w:hAnsi="Calibri"/>
          <w:b/>
          <w:bCs/>
          <w:sz w:val="22"/>
          <w:szCs w:val="22"/>
        </w:rPr>
        <w:t xml:space="preserve">Team description vs role requirement:</w:t>
      </w:r>
      <w:r>
        <w:rPr>
          <w:rFonts w:ascii="Calibri" w:cs="Calibri" w:eastAsia="Calibri" w:hAnsi="Calibri"/>
          <w:sz w:val="22"/>
          <w:szCs w:val="22"/>
        </w:rPr>
        <w:t xml:space="preserve"> skills must appear in the role’s duties or requirements. Mentions inside company, team, or department descriptions (“the team performs complex regulatory reporting”) describe the organisation, not the candidate — no tag.</w:t>
      </w:r>
    </w:p>
    <w:p>
      <w:pPr>
        <w:pStyle w:val="ListParagraph"/>
        <w:numPr>
          <w:ilvl w:val="0"/>
          <w:numId w:val="2"/>
        </w:numPr>
        <w:spacing w:after="80" w:line="276"/>
      </w:pPr>
      <w:r>
        <w:rPr>
          <w:rFonts w:ascii="Calibri" w:cs="Calibri" w:eastAsia="Calibri" w:hAnsi="Calibri"/>
          <w:b/>
          <w:bCs/>
          <w:sz w:val="22"/>
          <w:szCs w:val="22"/>
        </w:rPr>
        <w:t xml:space="preserve">Web analytics platforms:</w:t>
      </w:r>
      <w:r>
        <w:rPr>
          <w:rFonts w:ascii="Calibri" w:cs="Calibri" w:eastAsia="Calibri" w:hAnsi="Calibri"/>
          <w:sz w:val="22"/>
          <w:szCs w:val="22"/>
        </w:rPr>
        <w:t xml:space="preserve"> Google Analytics / GA4 / Adobe Analytics → other, verbatim “Google Analytics”. Review after full annotation: if ≥15 postings, promote to a category or lexicon home.</w:t>
      </w:r>
    </w:p>
    <w:p>
      <w:pPr>
        <w:pStyle w:val="ListParagraph"/>
        <w:numPr>
          <w:ilvl w:val="0"/>
          <w:numId w:val="2"/>
        </w:numPr>
        <w:spacing w:after="80" w:line="276"/>
      </w:pPr>
      <w:r>
        <w:rPr>
          <w:rFonts w:ascii="Calibri" w:cs="Calibri" w:eastAsia="Calibri" w:hAnsi="Calibri"/>
          <w:b/>
          <w:bCs/>
          <w:sz w:val="22"/>
          <w:szCs w:val="22"/>
        </w:rPr>
        <w:t xml:space="preserve">ML lexicon addition:</w:t>
      </w:r>
      <w:r>
        <w:rPr>
          <w:rFonts w:ascii="Calibri" w:cs="Calibri" w:eastAsia="Calibri" w:hAnsi="Calibri"/>
          <w:sz w:val="22"/>
          <w:szCs w:val="22"/>
        </w:rPr>
        <w:t xml:space="preserve"> “feature engineering” and “model development” in a data-science context → machine learning (added to lexicon). Bare “build models” with no qualifier remains untagged per the existing ambiguity rule.</w:t>
      </w:r>
    </w:p>
    <w:p>
      <w:pPr>
        <w:pStyle w:val="ListParagraph"/>
        <w:numPr>
          <w:ilvl w:val="0"/>
          <w:numId w:val="2"/>
        </w:numPr>
        <w:spacing w:after="80" w:line="276"/>
      </w:pPr>
      <w:r>
        <w:rPr>
          <w:rFonts w:ascii="Calibri" w:cs="Calibri" w:eastAsia="Calibri" w:hAnsi="Calibri"/>
          <w:b/>
          <w:bCs/>
          <w:sz w:val="22"/>
          <w:szCs w:val="22"/>
        </w:rPr>
        <w:t xml:space="preserve">Verbatim requirement:</w:t>
      </w:r>
      <w:r>
        <w:rPr>
          <w:rFonts w:ascii="Calibri" w:cs="Calibri" w:eastAsia="Calibri" w:hAnsi="Calibri"/>
          <w:sz w:val="22"/>
          <w:szCs w:val="22"/>
        </w:rPr>
        <w:t xml:space="preserve"> when other = 1, other_skills_verbatim MUST contain the posting’s words. An other tag with an empty verbatim cell is invalid.</w:t>
      </w:r>
    </w:p>
    <w:p>
      <w:pPr>
        <w:pStyle w:val="Heading1"/>
        <w:spacing w:after="140" w:before="280"/>
      </w:pPr>
      <w:r>
        <w:rPr>
          <w:rFonts w:ascii="Calibri" w:cs="Calibri" w:eastAsia="Calibri" w:hAnsi="Calibri"/>
          <w:b/>
          <w:bCs/>
          <w:color w:val="2F5496"/>
          <w:sz w:val="28"/>
          <w:szCs w:val="28"/>
        </w:rPr>
        <w:t xml:space="preserve">4. Edge case procedure</w:t>
      </w:r>
    </w:p>
    <w:p>
      <w:pPr>
        <w:pStyle w:val="ListParagraph"/>
        <w:numPr>
          <w:ilvl w:val="0"/>
          <w:numId w:val="2"/>
        </w:numPr>
        <w:spacing w:after="80" w:line="276"/>
      </w:pPr>
      <w:r>
        <w:rPr>
          <w:rFonts w:ascii="Calibri" w:cs="Calibri" w:eastAsia="Calibri" w:hAnsi="Calibri"/>
          <w:sz w:val="22"/>
          <w:szCs w:val="22"/>
        </w:rPr>
        <w:t xml:space="preserve">When uncertain, apply the explicit-mention rule conservatively: no named skill, no tag.</w:t>
      </w:r>
    </w:p>
    <w:p>
      <w:pPr>
        <w:pStyle w:val="ListParagraph"/>
        <w:numPr>
          <w:ilvl w:val="0"/>
          <w:numId w:val="2"/>
        </w:numPr>
        <w:spacing w:after="80" w:line="276"/>
      </w:pPr>
      <w:r>
        <w:rPr>
          <w:rFonts w:ascii="Calibri" w:cs="Calibri" w:eastAsia="Calibri" w:hAnsi="Calibri"/>
          <w:sz w:val="22"/>
          <w:szCs w:val="22"/>
        </w:rPr>
        <w:t xml:space="preserve">Record every uncertain decision in the notes column with the posting ID and the text span in question.</w:t>
      </w:r>
    </w:p>
    <w:p>
      <w:pPr>
        <w:pStyle w:val="ListParagraph"/>
        <w:numPr>
          <w:ilvl w:val="0"/>
          <w:numId w:val="2"/>
        </w:numPr>
        <w:spacing w:after="80" w:line="276"/>
      </w:pPr>
      <w:r>
        <w:rPr>
          <w:rFonts w:ascii="Calibri" w:cs="Calibri" w:eastAsia="Calibri" w:hAnsi="Calibri"/>
          <w:sz w:val="22"/>
          <w:szCs w:val="22"/>
        </w:rPr>
        <w:t xml:space="preserve">Decide each recurring edge case once, add the decision to these guidelines (Section 3.1), and apply it to all postings — including re-checking earlier postings if the decision changes.</w:t>
      </w:r>
    </w:p>
    <w:p>
      <w:pPr>
        <w:pStyle w:val="ListParagraph"/>
        <w:numPr>
          <w:ilvl w:val="0"/>
          <w:numId w:val="2"/>
        </w:numPr>
        <w:spacing w:after="80" w:line="276"/>
      </w:pPr>
      <w:r>
        <w:rPr>
          <w:rFonts w:ascii="Calibri" w:cs="Calibri" w:eastAsia="Calibri" w:hAnsi="Calibri"/>
          <w:sz w:val="22"/>
          <w:szCs w:val="22"/>
        </w:rPr>
        <w:t xml:space="preserve">Guidelines are versioned: pilot runs on v1.1; v1.2 (this document) incorporates the pilot revisions and governs the full annotation. Pilot annotations are discarded and the 20 pilot postings re-annotated under v1.1.</w:t>
      </w:r>
    </w:p>
    <w:p>
      <w:pPr>
        <w:pStyle w:val="Heading1"/>
        <w:spacing w:after="140" w:before="280"/>
      </w:pPr>
      <w:r>
        <w:rPr>
          <w:rFonts w:ascii="Calibri" w:cs="Calibri" w:eastAsia="Calibri" w:hAnsi="Calibri"/>
          <w:b/>
          <w:bCs/>
          <w:color w:val="2F5496"/>
          <w:sz w:val="28"/>
          <w:szCs w:val="28"/>
        </w:rPr>
        <w:t xml:space="preserve">5. Seniority field</w:t>
      </w:r>
    </w:p>
    <w:p>
      <w:pPr>
        <w:spacing w:after="120" w:line="276"/>
      </w:pPr>
      <w:r>
        <w:rPr>
          <w:rFonts w:ascii="Calibri" w:cs="Calibri" w:eastAsia="Calibri" w:hAnsi="Calibri"/>
          <w:sz w:val="22"/>
          <w:szCs w:val="22"/>
        </w:rPr>
        <w:t xml:space="preserve">Exactly one label per posting: junior / mid / senior / unspecified.</w:t>
      </w:r>
    </w:p>
    <w:p>
      <w:pPr>
        <w:pStyle w:val="ListParagraph"/>
        <w:numPr>
          <w:ilvl w:val="0"/>
          <w:numId w:val="2"/>
        </w:numPr>
        <w:spacing w:after="80" w:line="276"/>
      </w:pPr>
      <w:r>
        <w:rPr>
          <w:rFonts w:ascii="Calibri" w:cs="Calibri" w:eastAsia="Calibri" w:hAnsi="Calibri"/>
          <w:b/>
          <w:bCs/>
          <w:sz w:val="22"/>
          <w:szCs w:val="22"/>
        </w:rPr>
        <w:t xml:space="preserve">Rule 1 (title precedence):</w:t>
      </w:r>
      <w:r>
        <w:rPr>
          <w:rFonts w:ascii="Calibri" w:cs="Calibri" w:eastAsia="Calibri" w:hAnsi="Calibri"/>
          <w:sz w:val="22"/>
          <w:szCs w:val="22"/>
        </w:rPr>
        <w:t xml:space="preserve"> the job title decides. “Senior”, “Lead”, “Principal” → senior. “Junior”, “Graduate”, “Trainee”, “Entry-level” → junior. “Mid-level” or “Analyst II” → mid.</w:t>
      </w:r>
    </w:p>
    <w:p>
      <w:pPr>
        <w:pStyle w:val="ListParagraph"/>
        <w:numPr>
          <w:ilvl w:val="0"/>
          <w:numId w:val="2"/>
        </w:numPr>
        <w:spacing w:after="80" w:line="276"/>
      </w:pPr>
      <w:r>
        <w:rPr>
          <w:rFonts w:ascii="Calibri" w:cs="Calibri" w:eastAsia="Calibri" w:hAnsi="Calibri"/>
          <w:b/>
          <w:bCs/>
          <w:sz w:val="22"/>
          <w:szCs w:val="22"/>
        </w:rPr>
        <w:t xml:space="preserve">Rule 2 (body evidence):</w:t>
      </w:r>
      <w:r>
        <w:rPr>
          <w:rFonts w:ascii="Calibri" w:cs="Calibri" w:eastAsia="Calibri" w:hAnsi="Calibri"/>
          <w:sz w:val="22"/>
          <w:szCs w:val="22"/>
        </w:rPr>
        <w:t xml:space="preserve"> if the title is silent, explicit body statements decide: “entry-level”/“no experience required” → junior; stated requirement of 5+ years → senior; 2–4 years → mid.</w:t>
      </w:r>
    </w:p>
    <w:p>
      <w:pPr>
        <w:pStyle w:val="ListParagraph"/>
        <w:numPr>
          <w:ilvl w:val="0"/>
          <w:numId w:val="2"/>
        </w:numPr>
        <w:spacing w:after="80" w:line="276"/>
      </w:pPr>
      <w:r>
        <w:rPr>
          <w:rFonts w:ascii="Calibri" w:cs="Calibri" w:eastAsia="Calibri" w:hAnsi="Calibri"/>
          <w:b/>
          <w:bCs/>
          <w:sz w:val="22"/>
          <w:szCs w:val="22"/>
        </w:rPr>
        <w:t xml:space="preserve">Rule 3 (default):</w:t>
      </w:r>
      <w:r>
        <w:rPr>
          <w:rFonts w:ascii="Calibri" w:cs="Calibri" w:eastAsia="Calibri" w:hAnsi="Calibri"/>
          <w:sz w:val="22"/>
          <w:szCs w:val="22"/>
        </w:rPr>
        <w:t xml:space="preserve"> otherwise → unspecified. Do not infer seniority from salary, responsibilities, or tone.</w:t>
      </w:r>
    </w:p>
    <w:p>
      <w:pPr>
        <w:pStyle w:val="ListParagraph"/>
        <w:numPr>
          <w:ilvl w:val="0"/>
          <w:numId w:val="2"/>
        </w:numPr>
        <w:spacing w:after="80" w:line="276"/>
      </w:pPr>
      <w:r>
        <w:rPr>
          <w:rFonts w:ascii="Calibri" w:cs="Calibri" w:eastAsia="Calibri" w:hAnsi="Calibri"/>
          <w:b/>
          <w:bCs/>
          <w:sz w:val="22"/>
          <w:szCs w:val="22"/>
        </w:rPr>
        <w:t xml:space="preserve">Rule 4 (conflict):</w:t>
      </w:r>
      <w:r>
        <w:rPr>
          <w:rFonts w:ascii="Calibri" w:cs="Calibri" w:eastAsia="Calibri" w:hAnsi="Calibri"/>
          <w:sz w:val="22"/>
          <w:szCs w:val="22"/>
        </w:rPr>
        <w:t xml:space="preserve"> conflicts (senior title, junior-sounding body) → title wins; record in notes.</w:t>
      </w:r>
    </w:p>
    <w:p>
      <w:pPr>
        <w:pStyle w:val="Heading1"/>
        <w:spacing w:after="140" w:before="280"/>
      </w:pPr>
      <w:r>
        <w:rPr>
          <w:rFonts w:ascii="Calibri" w:cs="Calibri" w:eastAsia="Calibri" w:hAnsi="Calibri"/>
          <w:b/>
          <w:bCs/>
          <w:color w:val="2F5496"/>
          <w:sz w:val="28"/>
          <w:szCs w:val="28"/>
        </w:rPr>
        <w:t xml:space="preserve">6. Role family field</w:t>
      </w:r>
    </w:p>
    <w:p>
      <w:pPr>
        <w:spacing w:after="120" w:line="276"/>
      </w:pPr>
      <w:r>
        <w:rPr>
          <w:rFonts w:ascii="Calibri" w:cs="Calibri" w:eastAsia="Calibri" w:hAnsi="Calibri"/>
          <w:sz w:val="22"/>
          <w:szCs w:val="22"/>
        </w:rPr>
        <w:t xml:space="preserve">Exactly one label per posting: data analyst / business analyst / finance analyst / marketing analyst / data scientist / analytics engineering. A provisional label derived from title rules is pre-filled in the annotation sheet (role_family_provisional); the annotator verifies it against the posting body and corrects it where wrong, recording corrections in notes.</w:t>
      </w:r>
    </w:p>
    <w:p>
      <w:pPr>
        <w:pStyle w:val="ListParagraph"/>
        <w:numPr>
          <w:ilvl w:val="0"/>
          <w:numId w:val="2"/>
        </w:numPr>
        <w:spacing w:after="80" w:line="276"/>
      </w:pPr>
      <w:r>
        <w:rPr>
          <w:rFonts w:ascii="Calibri" w:cs="Calibri" w:eastAsia="Calibri" w:hAnsi="Calibri"/>
          <w:b/>
          <w:bCs/>
          <w:sz w:val="22"/>
          <w:szCs w:val="22"/>
        </w:rPr>
        <w:t xml:space="preserve">Rule:</w:t>
      </w:r>
      <w:r>
        <w:rPr>
          <w:rFonts w:ascii="Calibri" w:cs="Calibri" w:eastAsia="Calibri" w:hAnsi="Calibri"/>
          <w:sz w:val="22"/>
          <w:szCs w:val="22"/>
        </w:rPr>
        <w:t xml:space="preserve"> the advertised role’s primary function decides, from title first, body second. BI / insight / reporting / MI analyst titles → data analyst. FP&amp;A, commercial, financial, treasury → finance analyst. Web/digital analytics → marketing analyst.</w:t>
      </w:r>
    </w:p>
    <w:p>
      <w:pPr>
        <w:pStyle w:val="ListParagraph"/>
        <w:numPr>
          <w:ilvl w:val="0"/>
          <w:numId w:val="2"/>
        </w:numPr>
        <w:spacing w:after="80" w:line="276"/>
      </w:pPr>
      <w:r>
        <w:rPr>
          <w:rFonts w:ascii="Calibri" w:cs="Calibri" w:eastAsia="Calibri" w:hAnsi="Calibri"/>
          <w:b/>
          <w:bCs/>
          <w:sz w:val="22"/>
          <w:szCs w:val="22"/>
        </w:rPr>
        <w:t xml:space="preserve">Hybrids:</w:t>
      </w:r>
      <w:r>
        <w:rPr>
          <w:rFonts w:ascii="Calibri" w:cs="Calibri" w:eastAsia="Calibri" w:hAnsi="Calibri"/>
          <w:sz w:val="22"/>
          <w:szCs w:val="22"/>
        </w:rPr>
        <w:t xml:space="preserve"> hybrid titles (“Business Analyst / Data Analyst”) → label by the dominant function described in the body; if genuinely indeterminate, label by the first-listed title and record in notes.</w:t>
      </w:r>
    </w:p>
    <w:p>
      <w:pPr>
        <w:pStyle w:val="Heading1"/>
        <w:spacing w:after="140" w:before="280"/>
      </w:pPr>
      <w:r>
        <w:rPr>
          <w:rFonts w:ascii="Calibri" w:cs="Calibri" w:eastAsia="Calibri" w:hAnsi="Calibri"/>
          <w:b/>
          <w:bCs/>
          <w:color w:val="2F5496"/>
          <w:sz w:val="28"/>
          <w:szCs w:val="28"/>
        </w:rPr>
        <w:t xml:space="preserve">7. Process</w:t>
      </w:r>
    </w:p>
    <w:p>
      <w:pPr>
        <w:pStyle w:val="ListParagraph"/>
        <w:numPr>
          <w:ilvl w:val="0"/>
          <w:numId w:val="2"/>
        </w:numPr>
        <w:spacing w:after="80" w:line="276"/>
      </w:pPr>
      <w:r>
        <w:rPr>
          <w:rFonts w:ascii="Calibri" w:cs="Calibri" w:eastAsia="Calibri" w:hAnsi="Calibri"/>
          <w:b/>
          <w:bCs/>
          <w:sz w:val="22"/>
          <w:szCs w:val="22"/>
        </w:rPr>
        <w:t xml:space="preserve">Annotation record:</w:t>
      </w:r>
      <w:r>
        <w:rPr>
          <w:rFonts w:ascii="Calibri" w:cs="Calibri" w:eastAsia="Calibri" w:hAnsi="Calibri"/>
          <w:sz w:val="22"/>
          <w:szCs w:val="22"/>
        </w:rPr>
        <w:t xml:space="preserve"> one row per posting (posting_id), one column per category (values 0/1), one seniority column, one role_family column, one notes column. File: gold_standard_annotations.xlsx, built from gold_standard_sample_300.csv.</w:t>
      </w:r>
    </w:p>
    <w:p>
      <w:pPr>
        <w:pStyle w:val="ListParagraph"/>
        <w:numPr>
          <w:ilvl w:val="0"/>
          <w:numId w:val="2"/>
        </w:numPr>
        <w:spacing w:after="80" w:line="276"/>
      </w:pPr>
      <w:r>
        <w:rPr>
          <w:rFonts w:ascii="Calibri" w:cs="Calibri" w:eastAsia="Calibri" w:hAnsi="Calibri"/>
          <w:b/>
          <w:bCs/>
          <w:sz w:val="22"/>
          <w:szCs w:val="22"/>
        </w:rPr>
        <w:t xml:space="preserve">Pilot:</w:t>
      </w:r>
      <w:r>
        <w:rPr>
          <w:rFonts w:ascii="Calibri" w:cs="Calibri" w:eastAsia="Calibri" w:hAnsi="Calibri"/>
          <w:sz w:val="22"/>
          <w:szCs w:val="22"/>
        </w:rPr>
        <w:t xml:space="preserve"> annotate the 20 postings in pilot_sample_20_v2.csv (seed 42, minimum two postings per role family) under v1.1; review notes; revise guidelines to v1.2; discard pilot annotations; annotate the full 300-posting gold sample (including the 20) under the revised version.</w:t>
      </w:r>
    </w:p>
    <w:p>
      <w:pPr>
        <w:pStyle w:val="ListParagraph"/>
        <w:numPr>
          <w:ilvl w:val="0"/>
          <w:numId w:val="2"/>
        </w:numPr>
        <w:spacing w:after="80" w:line="276"/>
      </w:pPr>
      <w:r>
        <w:rPr>
          <w:rFonts w:ascii="Calibri" w:cs="Calibri" w:eastAsia="Calibri" w:hAnsi="Calibri"/>
          <w:b/>
          <w:bCs/>
          <w:sz w:val="22"/>
          <w:szCs w:val="22"/>
        </w:rPr>
        <w:t xml:space="preserve">Consistency check:</w:t>
      </w:r>
      <w:r>
        <w:rPr>
          <w:rFonts w:ascii="Calibri" w:cs="Calibri" w:eastAsia="Calibri" w:hAnsi="Calibri"/>
          <w:sz w:val="22"/>
          <w:szCs w:val="22"/>
        </w:rPr>
        <w:t xml:space="preserve"> after completing the full corpus, re-annotate 20 randomly selected postings no sooner than two weeks after their first annotation, blind to the original labels; report per-category intra-annotator agreement (percentage agreement and Cohen’s kappa) as an annotation-quality indicator.</w:t>
      </w:r>
    </w:p>
    <w:p>
      <w:pPr>
        <w:pStyle w:val="ListParagraph"/>
        <w:numPr>
          <w:ilvl w:val="0"/>
          <w:numId w:val="2"/>
        </w:numPr>
        <w:spacing w:after="80" w:line="276"/>
      </w:pPr>
      <w:r>
        <w:rPr>
          <w:rFonts w:ascii="Calibri" w:cs="Calibri" w:eastAsia="Calibri" w:hAnsi="Calibri"/>
          <w:b/>
          <w:bCs/>
          <w:sz w:val="22"/>
          <w:szCs w:val="22"/>
        </w:rPr>
        <w:t xml:space="preserve">Corpus exclusions:</w:t>
      </w:r>
      <w:r>
        <w:rPr>
          <w:rFonts w:ascii="Calibri" w:cs="Calibri" w:eastAsia="Calibri" w:hAnsi="Calibri"/>
          <w:sz w:val="22"/>
          <w:szCs w:val="22"/>
        </w:rPr>
        <w:t xml:space="preserve"> postings with no substantive description (aggregator stubs, e.g. “click apply to read the full description”, or under 500 characters) and postings for roles located outside the UK (relocation adverts) are excluded at corpus level, not annotated as all-zero rows. 26 such postings were removed after the pilot (corpus v3, n=901).</w:t>
      </w:r>
    </w:p>
    <w:p>
      <w:pPr>
        <w:pStyle w:val="ListParagraph"/>
        <w:numPr>
          <w:ilvl w:val="0"/>
          <w:numId w:val="2"/>
        </w:numPr>
        <w:spacing w:after="80" w:line="276"/>
      </w:pPr>
      <w:r>
        <w:rPr>
          <w:rFonts w:ascii="Calibri" w:cs="Calibri" w:eastAsia="Calibri" w:hAnsi="Calibri"/>
          <w:b/>
          <w:bCs/>
          <w:sz w:val="22"/>
          <w:szCs w:val="22"/>
        </w:rPr>
        <w:t xml:space="preserve">Single annotator:</w:t>
      </w:r>
      <w:r>
        <w:rPr>
          <w:rFonts w:ascii="Calibri" w:cs="Calibri" w:eastAsia="Calibri" w:hAnsi="Calibri"/>
          <w:sz w:val="22"/>
          <w:szCs w:val="22"/>
        </w:rPr>
        <w:t xml:space="preserve"> annotation is performed by a single annotator (the author); this is acknowledged as a limitation, mitigated by the explicit-mention rule, versioned guidelines, and the intra-annotator consistency check.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2026-07-20T16:57:48.311Z</dcterms:created>
  <dcterms:modified xsi:type="dcterms:W3CDTF">2026-07-20T16:57:48.327Z</dcterms:modified>
</cp:coreProperties>
</file>

<file path=docProps/custom.xml><?xml version="1.0" encoding="utf-8"?>
<Properties xmlns="http://schemas.openxmlformats.org/officeDocument/2006/custom-properties" xmlns:vt="http://schemas.openxmlformats.org/officeDocument/2006/docPropsVTypes"/>
</file>