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40"/>
          <w:szCs w:val="40"/>
        </w:rPr>
        <w:t xml:space="preserve">Annotation Guidelines</w:t>
      </w:r>
    </w:p>
    <w:p>
      <w:pPr>
        <w:spacing w:after="300"/>
      </w:pPr>
      <w:r>
        <w:rPr>
          <w:rFonts w:ascii="Calibri" w:cs="Calibri" w:eastAsia="Calibri" w:hAnsi="Calibri"/>
          <w:i/>
          <w:iCs/>
          <w:color w:val="595959"/>
          <w:sz w:val="22"/>
          <w:szCs w:val="22"/>
        </w:rPr>
        <w:t xml:space="preserve">Gold-standard annotation of UK analyst job postings — v2.0 (final, post-annotation), August 2026</w:t>
      </w:r>
    </w:p>
    <w:p>
      <w:pPr>
        <w:spacing w:after="120" w:line="276"/>
      </w:pPr>
      <w:r>
        <w:rPr>
          <w:rFonts w:ascii="Calibri" w:cs="Calibri" w:eastAsia="Calibri" w:hAnsi="Calibri"/>
          <w:i/>
          <w:iCs/>
          <w:sz w:val="22"/>
          <w:szCs w:val="22"/>
        </w:rPr>
        <w:t xml:space="preserve">This document records the annotation scheme and rules as applied to the completed gold standard. Versions v1.0–v1.2 governed the pilot and the annotation itself; v2.0 consolidates those rules with every decision made during annotation, and supersedes them. Section 8 documents the annotation protocol as executed.</w:t>
      </w:r>
    </w:p>
    <w:p>
      <w:pPr>
        <w:pStyle w:val="Heading1"/>
        <w:spacing w:after="140" w:before="280"/>
      </w:pPr>
      <w:r>
        <w:rPr>
          <w:rFonts w:ascii="Calibri" w:cs="Calibri" w:eastAsia="Calibri" w:hAnsi="Calibri"/>
          <w:b/>
          <w:bCs/>
          <w:color w:val="2F5496"/>
          <w:sz w:val="28"/>
          <w:szCs w:val="28"/>
        </w:rPr>
        <w:t xml:space="preserve">1. Task definition</w:t>
      </w:r>
    </w:p>
    <w:p>
      <w:pPr>
        <w:spacing w:after="120" w:line="276"/>
      </w:pPr>
      <w:r>
        <w:rPr>
          <w:rFonts w:ascii="Calibri" w:cs="Calibri" w:eastAsia="Calibri" w:hAnsi="Calibri"/>
          <w:sz w:val="22"/>
          <w:szCs w:val="22"/>
        </w:rPr>
        <w:t xml:space="preserve">Each posting in the gold-standard sample (n = 300, stratified by role family from the 820-posting corpus, uk_analyst_corpus_v4_clean.csv) is annotated with a binary value for each of 13 skill categories: 1 if the posting explicitly mentions the skill, 0 otherwise. Categories are not mutually exclusive. A 14th column, Other, captures explicitly named data-analysis skills fitting no category, recorded verbatim.</w:t>
      </w:r>
    </w:p>
    <w:p>
      <w:pPr>
        <w:spacing w:after="120" w:line="276"/>
      </w:pPr>
      <w:r>
        <w:rPr>
          <w:rFonts w:ascii="Calibri" w:cs="Calibri" w:eastAsia="Calibri" w:hAnsi="Calibri"/>
          <w:sz w:val="22"/>
          <w:szCs w:val="22"/>
        </w:rPr>
        <w:t xml:space="preserve">Each posting additionally receives exactly one seniority label (Section 5) and one role family label (Section 6), per the project Terms of Reference.</w:t>
      </w:r>
    </w:p>
    <w:p>
      <w:pPr>
        <w:spacing w:after="120" w:line="276"/>
      </w:pPr>
      <w:r>
        <w:rPr>
          <w:rFonts w:ascii="Calibri" w:cs="Calibri" w:eastAsia="Calibri" w:hAnsi="Calibri"/>
          <w:sz w:val="22"/>
          <w:szCs w:val="22"/>
        </w:rPr>
        <w:t xml:space="preserve">Annotation is performed on the full posting text (job_summary). The unit of annotation is the whole posting, not the sentence or the vacancy: one advert listing multiple openings remains one record. Skill categories are annotated identically for every role family — a finance analyst posting that never mentions SQL simply receives 0. Low frequencies within a family are findings, not annotation errors; nine postings (3.0%) carry no skill tags at all, all of them process-oriented business analyst roles.</w:t>
      </w:r>
    </w:p>
    <w:p>
      <w:pPr>
        <w:pStyle w:val="Heading1"/>
        <w:spacing w:after="140" w:before="280"/>
      </w:pPr>
      <w:r>
        <w:rPr>
          <w:rFonts w:ascii="Calibri" w:cs="Calibri" w:eastAsia="Calibri" w:hAnsi="Calibri"/>
          <w:b/>
          <w:bCs/>
          <w:color w:val="2F5496"/>
          <w:sz w:val="28"/>
          <w:szCs w:val="28"/>
        </w:rPr>
        <w:t xml:space="preserve">2. The core rule: explicit mention only</w:t>
      </w:r>
    </w:p>
    <w:p>
      <w:pPr>
        <w:spacing w:after="120" w:line="276"/>
      </w:pPr>
      <w:r>
        <w:rPr>
          <w:rFonts w:ascii="Calibri" w:cs="Calibri" w:eastAsia="Calibri" w:hAnsi="Calibri"/>
          <w:sz w:val="22"/>
          <w:szCs w:val="22"/>
        </w:rPr>
        <w:t xml:space="preserve">A category is tagged 1 only if the posting explicitly names the skill or a term in that category’s lexicon (Section 3). Skills are never inferred from context, role type, seniority, or domain.</w:t>
      </w:r>
    </w:p>
    <w:p>
      <w:pPr>
        <w:pStyle w:val="ListParagraph"/>
        <w:numPr>
          <w:ilvl w:val="0"/>
          <w:numId w:val="2"/>
        </w:numPr>
        <w:spacing w:after="80" w:line="276"/>
      </w:pPr>
      <w:r>
        <w:rPr>
          <w:rFonts w:ascii="Calibri" w:cs="Calibri" w:eastAsia="Calibri" w:hAnsi="Calibri"/>
          <w:b/>
          <w:bCs/>
          <w:sz w:val="22"/>
          <w:szCs w:val="22"/>
        </w:rPr>
        <w:t xml:space="preserve">Counts: </w:t>
      </w:r>
      <w:r>
        <w:rPr>
          <w:rFonts w:ascii="Calibri" w:cs="Calibri" w:eastAsia="Calibri" w:hAnsi="Calibri"/>
          <w:sz w:val="22"/>
          <w:szCs w:val="22"/>
        </w:rPr>
        <w:t xml:space="preserve"> “Strong SQL skills required” → database querying = 1.</w:t>
      </w:r>
    </w:p>
    <w:p>
      <w:pPr>
        <w:pStyle w:val="ListParagraph"/>
        <w:numPr>
          <w:ilvl w:val="0"/>
          <w:numId w:val="2"/>
        </w:numPr>
        <w:spacing w:after="80" w:line="276"/>
      </w:pPr>
      <w:r>
        <w:rPr>
          <w:rFonts w:ascii="Calibri" w:cs="Calibri" w:eastAsia="Calibri" w:hAnsi="Calibri"/>
          <w:b/>
          <w:bCs/>
          <w:sz w:val="22"/>
          <w:szCs w:val="22"/>
        </w:rPr>
        <w:t xml:space="preserve">Counts: </w:t>
      </w:r>
      <w:r>
        <w:rPr>
          <w:rFonts w:ascii="Calibri" w:cs="Calibri" w:eastAsia="Calibri" w:hAnsi="Calibri"/>
          <w:sz w:val="22"/>
          <w:szCs w:val="22"/>
        </w:rPr>
        <w:t xml:space="preserve"> desirable and “nice to have” skills. “Python would be advantageous” → programming = 1. The posting is signalling demand, which is the object of study.</w:t>
      </w:r>
    </w:p>
    <w:p>
      <w:pPr>
        <w:pStyle w:val="ListParagraph"/>
        <w:numPr>
          <w:ilvl w:val="0"/>
          <w:numId w:val="2"/>
        </w:numPr>
        <w:spacing w:after="80" w:line="276"/>
      </w:pPr>
      <w:r>
        <w:rPr>
          <w:rFonts w:ascii="Calibri" w:cs="Calibri" w:eastAsia="Calibri" w:hAnsi="Calibri"/>
          <w:b/>
          <w:bCs/>
          <w:sz w:val="22"/>
          <w:szCs w:val="22"/>
        </w:rPr>
        <w:t xml:space="preserve">Does not count: </w:t>
      </w:r>
      <w:r>
        <w:rPr>
          <w:rFonts w:ascii="Calibri" w:cs="Calibri" w:eastAsia="Calibri" w:hAnsi="Calibri"/>
          <w:sz w:val="22"/>
          <w:szCs w:val="22"/>
        </w:rPr>
        <w:t xml:space="preserve"> “You will work with large datasets” → no tag. No named skill, no inference.</w:t>
      </w:r>
    </w:p>
    <w:p>
      <w:pPr>
        <w:pStyle w:val="ListParagraph"/>
        <w:numPr>
          <w:ilvl w:val="0"/>
          <w:numId w:val="2"/>
        </w:numPr>
        <w:spacing w:after="80" w:line="276"/>
      </w:pPr>
      <w:r>
        <w:rPr>
          <w:rFonts w:ascii="Calibri" w:cs="Calibri" w:eastAsia="Calibri" w:hAnsi="Calibri"/>
          <w:b/>
          <w:bCs/>
          <w:sz w:val="22"/>
          <w:szCs w:val="22"/>
        </w:rPr>
        <w:t xml:space="preserve">Does not count: </w:t>
      </w:r>
      <w:r>
        <w:rPr>
          <w:rFonts w:ascii="Calibri" w:cs="Calibri" w:eastAsia="Calibri" w:hAnsi="Calibri"/>
          <w:sz w:val="22"/>
          <w:szCs w:val="22"/>
        </w:rPr>
        <w:t xml:space="preserve"> company, team or department descriptions. “The team performs complex regulatory reporting”, “our Data Science team harnesses big data” → no tag: these describe the organisation, not the candidate.</w:t>
      </w:r>
    </w:p>
    <w:p>
      <w:pPr>
        <w:pStyle w:val="ListParagraph"/>
        <w:numPr>
          <w:ilvl w:val="0"/>
          <w:numId w:val="2"/>
        </w:numPr>
        <w:spacing w:after="80" w:line="276"/>
      </w:pPr>
      <w:r>
        <w:rPr>
          <w:rFonts w:ascii="Calibri" w:cs="Calibri" w:eastAsia="Calibri" w:hAnsi="Calibri"/>
          <w:b/>
          <w:bCs/>
          <w:sz w:val="22"/>
          <w:szCs w:val="22"/>
        </w:rPr>
        <w:t xml:space="preserve">Does not count: </w:t>
      </w:r>
      <w:r>
        <w:rPr>
          <w:rFonts w:ascii="Calibri" w:cs="Calibri" w:eastAsia="Calibri" w:hAnsi="Calibri"/>
          <w:sz w:val="22"/>
          <w:szCs w:val="22"/>
        </w:rPr>
        <w:t xml:space="preserve"> degree subjects and qualifications. “2:1 in Maths or Statistics”, “advanced coursework in statistics”, CCAB / ACCA / CIMA → no tag.</w:t>
      </w:r>
    </w:p>
    <w:p>
      <w:pPr>
        <w:pStyle w:val="ListParagraph"/>
        <w:numPr>
          <w:ilvl w:val="0"/>
          <w:numId w:val="2"/>
        </w:numPr>
        <w:spacing w:after="80" w:line="276"/>
      </w:pPr>
      <w:r>
        <w:rPr>
          <w:rFonts w:ascii="Calibri" w:cs="Calibri" w:eastAsia="Calibri" w:hAnsi="Calibri"/>
          <w:b/>
          <w:bCs/>
          <w:sz w:val="22"/>
          <w:szCs w:val="22"/>
        </w:rPr>
        <w:t xml:space="preserve">Does not count: </w:t>
      </w:r>
      <w:r>
        <w:rPr>
          <w:rFonts w:ascii="Calibri" w:cs="Calibri" w:eastAsia="Calibri" w:hAnsi="Calibri"/>
          <w:sz w:val="22"/>
          <w:szCs w:val="22"/>
        </w:rPr>
        <w:t xml:space="preserve"> recruiter boilerplate. Agency SEO keyword footers (“Data Analyst, SQL, Python, Power BI…” appended below the advert), agency privacy/GDPR policies, and agency self-promotion (“we are the go-to recruiter for Power BI and Azure roles”) → no tag.</w:t>
      </w:r>
    </w:p>
    <w:p>
      <w:pPr>
        <w:pStyle w:val="ListParagraph"/>
        <w:numPr>
          <w:ilvl w:val="0"/>
          <w:numId w:val="2"/>
        </w:numPr>
        <w:spacing w:after="80" w:line="276"/>
      </w:pPr>
      <w:r>
        <w:rPr>
          <w:rFonts w:ascii="Calibri" w:cs="Calibri" w:eastAsia="Calibri" w:hAnsi="Calibri"/>
          <w:b/>
          <w:bCs/>
          <w:sz w:val="22"/>
          <w:szCs w:val="22"/>
        </w:rPr>
        <w:t xml:space="preserve">Does not count: </w:t>
      </w:r>
      <w:r>
        <w:rPr>
          <w:rFonts w:ascii="Calibri" w:cs="Calibri" w:eastAsia="Calibri" w:hAnsi="Calibri"/>
          <w:sz w:val="22"/>
          <w:szCs w:val="22"/>
        </w:rPr>
        <w:t xml:space="preserve"> job title alone. Tags are grounded in the posting body.</w:t>
      </w:r>
    </w:p>
    <w:p>
      <w:pPr>
        <w:spacing w:after="120" w:line="276"/>
      </w:pPr>
      <w:r>
        <w:rPr>
          <w:rFonts w:ascii="Calibri" w:cs="Calibri" w:eastAsia="Calibri" w:hAnsi="Calibri"/>
          <w:sz w:val="22"/>
          <w:szCs w:val="22"/>
        </w:rPr>
        <w:t xml:space="preserve">Rationale: implied skills cannot be annotated consistently and cannot be fairly compared against automated methods that see only the text. The explicit-mention rule makes every decision auditable against a specific text span.</w:t>
      </w:r>
    </w:p>
    <w:p>
      <w:pPr>
        <w:pStyle w:val="Heading1"/>
        <w:spacing w:after="140" w:before="280"/>
      </w:pPr>
      <w:r>
        <w:rPr>
          <w:rFonts w:ascii="Calibri" w:cs="Calibri" w:eastAsia="Calibri" w:hAnsi="Calibri"/>
          <w:b/>
          <w:bCs/>
          <w:color w:val="2F5496"/>
          <w:sz w:val="28"/>
          <w:szCs w:val="28"/>
        </w:rPr>
        <w:t xml:space="preserve">3. Category definitions, lexicons and observed frequencies</w:t>
      </w:r>
    </w:p>
    <w:p>
      <w:pPr>
        <w:spacing w:after="120" w:line="276"/>
      </w:pPr>
      <w:r>
        <w:rPr>
          <w:rFonts w:ascii="Calibri" w:cs="Calibri" w:eastAsia="Calibri" w:hAnsi="Calibri"/>
          <w:sz w:val="22"/>
          <w:szCs w:val="22"/>
        </w:rPr>
        <w:t xml:space="preserve">Lexicons are seed lists, not closed lists: an unambiguous synonym or tool of the category counts even if absent from the list. Matching is case-insensitive and tolerant of spacing and hyphenation variants (“PowerBI”, “Power-BI”, “power bi”). Frequencies are the counts observed in the completed gold standard (n = 300).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3050"/>
        <w:gridCol w:w="1510"/>
      </w:tblGrid>
      <w:tr>
        <w:trPr>
          <w:tblHeader/>
        </w:trPr>
        <w:tc>
          <w:tcPr>
            <w:tcW w:type="dxa" w:w="1700"/>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Category</w:t>
            </w:r>
          </w:p>
        </w:tc>
        <w:tc>
          <w:tcPr>
            <w:tcW w:type="dxa" w:w="3100"/>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Tag 1 when the posting explicitly mentions…</w:t>
            </w:r>
          </w:p>
        </w:tc>
        <w:tc>
          <w:tcPr>
            <w:tcW w:type="dxa" w:w="3050"/>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Lexicon (seed list)</w:t>
            </w:r>
          </w:p>
        </w:tc>
        <w:tc>
          <w:tcPr>
            <w:tcW w:type="dxa" w:w="1510"/>
            <w:tcBorders>
              <w:top w:val="single" w:color="BFBFBF" w:sz="4"/>
              <w:left w:val="single" w:color="BFBFBF" w:sz="4"/>
              <w:bottom w:val="single" w:color="BFBFBF" w:sz="4"/>
              <w:right w:val="single" w:color="BFBFBF" w:sz="4"/>
            </w:tcBorders>
            <w:shd w:fill="2F5496"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Gold standard n (%)</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1. Programming</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A general-purpose programming or scripting language, or macro development.</w:t>
            </w:r>
          </w:p>
        </w:tc>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Python; R; Scala; Java; C#; VBA; macros; DAX; PySpark; Bash; “programming” / “coding” / “scripting” named as a requirement</w:t>
            </w:r>
          </w:p>
        </w:tc>
        <w:tc>
          <w:tcPr>
            <w:tcW w:type="dxa" w:w="1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67 (22.3%)</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2. Database querying (SQL)</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Querying or working with data held in databases.</w:t>
            </w:r>
          </w:p>
        </w:tc>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SQL; T-SQL; PL/SQL; MySQL; PostgreSQL; SQL Server; MongoDB; NoSQL; BigQuery; MS Access; “databases” / “relational databases” named as a requirement</w:t>
            </w:r>
          </w:p>
        </w:tc>
        <w:tc>
          <w:tcPr>
            <w:tcW w:type="dxa" w:w="1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100 (33.3%)</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3. Data visualisation / BI tools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Building visual or interactive representations of data, or a named visualisation/BI tool.</w:t>
            </w:r>
          </w:p>
        </w:tc>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Power BI; Tableau; Looker / Looker Studio; Qlik; Alteryx; Spotfire; “data visualisation”; “dashboards”</w:t>
            </w:r>
          </w:p>
        </w:tc>
        <w:tc>
          <w:tcPr>
            <w:tcW w:type="dxa" w:w="1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105 (35.0%)</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4. Reporting / dashboarding</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Producing, maintaining or distributing reports and management information.</w:t>
            </w:r>
          </w:p>
        </w:tc>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reporting; report writing/production; MI; management reporting; KPI reporting; performance packs; SSRS; Crystal Reports</w:t>
            </w:r>
          </w:p>
        </w:tc>
        <w:tc>
          <w:tcPr>
            <w:tcW w:type="dxa" w:w="1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169 (56.3%)</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5. Spreadsheets (Excel)</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Spreadsheet software.</w:t>
            </w:r>
          </w:p>
        </w:tc>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Excel; Microsoft Excel; Google Sheets; spreadsheets; pivot tables; VLOOKUP; PowerQuery</w:t>
            </w:r>
          </w:p>
        </w:tc>
        <w:tc>
          <w:tcPr>
            <w:tcW w:type="dxa" w:w="1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87 (29.0%)</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6. Statistical analysis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Statistical methods or named statistical software.</w:t>
            </w:r>
          </w:p>
        </w:tc>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statistics; statistical analysis; regression; forecasting; time series; hypothesis / A-B testing; econometrics; SAS; SPSS; MATLAB; Minitab</w:t>
            </w:r>
          </w:p>
        </w:tc>
        <w:tc>
          <w:tcPr>
            <w:tcW w:type="dxa" w:w="1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107 (35.7%)</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7. Machine learning</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Building or applying machine learning, predictive or AI models.</w:t>
            </w:r>
          </w:p>
        </w:tc>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machine learning; ML; predictive modelling; feature engineering; deep learning; NLP; LLM; TensorFlow; PyTorch; scikit-learn</w:t>
            </w:r>
          </w:p>
        </w:tc>
        <w:tc>
          <w:tcPr>
            <w:tcW w:type="dxa" w:w="1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23 (7.7%)</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8. Data cleaning / preparation</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Preparing raw data: cleansing, validation, quality assurance, wrangling.</w:t>
            </w:r>
          </w:p>
        </w:tc>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data cleaning / cleansing; data preparation; data wrangling; data quality; data validation; data integrity as a duty</w:t>
            </w:r>
          </w:p>
        </w:tc>
        <w:tc>
          <w:tcPr>
            <w:tcW w:type="dxa" w:w="1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26 (8.7%)</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9. Data engineering / ETL</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Data pipelines, integration processes, warehousing, big data tooling.</w:t>
            </w:r>
          </w:p>
        </w:tc>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ETL; ELT; data pipelines; ingestion; data warehouse; data lake; SSIS; Informatica; Airflow; Kafka; Spark; Snowflake; Redshift; Hadoop; big data</w:t>
            </w:r>
          </w:p>
        </w:tc>
        <w:tc>
          <w:tcPr>
            <w:tcW w:type="dxa" w:w="1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44 (14.7%)</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10. Data modelling</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Designing the structure of data: schemas, dimensional models, entity relationships.</w:t>
            </w:r>
          </w:p>
        </w:tc>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data model(ling); dimensional modelling; star schema; Kimball; data mart; entity-relationship; Erwin</w:t>
            </w:r>
          </w:p>
        </w:tc>
        <w:tc>
          <w:tcPr>
            <w:tcW w:type="dxa" w:w="1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31 (10.3%)</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11. Cloud platforms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A named cloud computing platform or service.</w:t>
            </w:r>
          </w:p>
        </w:tc>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AWS; Azure; GCP; Google Cloud; Databricks; Snowflake (as platform); S3; EC2; Redshift; Azure Synapse / Data Factory</w:t>
            </w:r>
          </w:p>
        </w:tc>
        <w:tc>
          <w:tcPr>
            <w:tcW w:type="dxa" w:w="1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40 (13.3%)</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12. Stakeholder communication</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Communicating with stakeholders or non-technical audiences, where named as a requirement.</w:t>
            </w:r>
          </w:p>
        </w:tc>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stakeholder management / engagement; presenting; presentations; communication skills; data storytelling; non-technical audiences</w:t>
            </w:r>
          </w:p>
        </w:tc>
        <w:tc>
          <w:tcPr>
            <w:tcW w:type="dxa" w:w="1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243 (81.0%)</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13. Data ethics / governance</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Data protection, privacy, governance or data-context compliance.</w:t>
            </w:r>
          </w:p>
        </w:tc>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GDPR; data protection; data governance; data privacy; data ethics</w:t>
            </w:r>
          </w:p>
        </w:tc>
        <w:tc>
          <w:tcPr>
            <w:tcW w:type="dxa" w:w="1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13 (4.3%)</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14. Other</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Any explicitly named data-analysis skill fitting none of the above. Recorded verbatim.</w:t>
            </w:r>
          </w:p>
        </w:tc>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e.g. Google Analytics / GA4; dbt; Jupyter; Anaplan; Agresso; WRF; ESG data providers</w:t>
            </w:r>
          </w:p>
        </w:tc>
        <w:tc>
          <w:tcPr>
            <w:tcW w:type="dxa" w:w="1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0"/>
            </w:pPr>
            <w:r>
              <w:rPr>
                <w:rFonts w:ascii="Calibri" w:cs="Calibri" w:eastAsia="Calibri" w:hAnsi="Calibri"/>
                <w:b w:val="false"/>
                <w:bCs w:val="false"/>
                <w:color w:val="000000"/>
                <w:sz w:val="19"/>
                <w:szCs w:val="19"/>
              </w:rPr>
              <w:t xml:space="preserve">26 (8.7%)</w:t>
            </w:r>
          </w:p>
        </w:tc>
      </w:tr>
    </w:tbl>
    <w:p>
      <w:pPr>
        <w:pStyle w:val="Heading2"/>
        <w:spacing w:after="100" w:before="200"/>
      </w:pPr>
      <w:r>
        <w:rPr>
          <w:rFonts w:ascii="Calibri" w:cs="Calibri" w:eastAsia="Calibri" w:hAnsi="Calibri"/>
          <w:b/>
          <w:bCs/>
          <w:color w:val="2F5496"/>
          <w:sz w:val="24"/>
          <w:szCs w:val="24"/>
        </w:rPr>
        <w:t xml:space="preserve">3.1 Boundary rules</w:t>
      </w:r>
    </w:p>
    <w:p>
      <w:pPr>
        <w:pStyle w:val="ListParagraph"/>
        <w:numPr>
          <w:ilvl w:val="0"/>
          <w:numId w:val="2"/>
        </w:numPr>
        <w:spacing w:after="80" w:line="276"/>
      </w:pPr>
      <w:r>
        <w:rPr>
          <w:rFonts w:ascii="Calibri" w:cs="Calibri" w:eastAsia="Calibri" w:hAnsi="Calibri"/>
          <w:b/>
          <w:bCs/>
          <w:sz w:val="22"/>
          <w:szCs w:val="22"/>
        </w:rPr>
        <w:t xml:space="preserve">Visualisation vs reporting:</w:t>
      </w:r>
      <w:r>
        <w:rPr>
          <w:rFonts w:ascii="Calibri" w:cs="Calibri" w:eastAsia="Calibri" w:hAnsi="Calibri"/>
          <w:sz w:val="22"/>
          <w:szCs w:val="22"/>
        </w:rPr>
        <w:t xml:space="preserve"> building dashboards or visuals, or a named visualisation tool → visualisation (3). Producing or distributing reports/MI → reporting (4). “Build Power BI dashboards and deliver monthly MI reports” → both.</w:t>
      </w:r>
    </w:p>
    <w:p>
      <w:pPr>
        <w:pStyle w:val="ListParagraph"/>
        <w:numPr>
          <w:ilvl w:val="0"/>
          <w:numId w:val="2"/>
        </w:numPr>
        <w:spacing w:after="80" w:line="276"/>
      </w:pPr>
      <w:r>
        <w:rPr>
          <w:rFonts w:ascii="Calibri" w:cs="Calibri" w:eastAsia="Calibri" w:hAnsi="Calibri"/>
          <w:b/>
          <w:bCs/>
          <w:sz w:val="22"/>
          <w:szCs w:val="22"/>
        </w:rPr>
        <w:t xml:space="preserve">“Reporting to…”:</w:t>
      </w:r>
      <w:r>
        <w:rPr>
          <w:rFonts w:ascii="Calibri" w:cs="Calibri" w:eastAsia="Calibri" w:hAnsi="Calibri"/>
          <w:sz w:val="22"/>
          <w:szCs w:val="22"/>
        </w:rPr>
        <w:t xml:space="preserve"> “Reporting to the Head of Data”, “reporting lines”, “junior direct reports”, “will report into the Manager” → organisational structure, no tag. The most common false positive.</w:t>
      </w:r>
    </w:p>
    <w:p>
      <w:pPr>
        <w:pStyle w:val="ListParagraph"/>
        <w:numPr>
          <w:ilvl w:val="0"/>
          <w:numId w:val="2"/>
        </w:numPr>
        <w:spacing w:after="80" w:line="276"/>
      </w:pPr>
      <w:r>
        <w:rPr>
          <w:rFonts w:ascii="Calibri" w:cs="Calibri" w:eastAsia="Calibri" w:hAnsi="Calibri"/>
          <w:b/>
          <w:bCs/>
          <w:sz w:val="22"/>
          <w:szCs w:val="22"/>
        </w:rPr>
        <w:t xml:space="preserve">Lexicon-literal reporting:</w:t>
      </w:r>
      <w:r>
        <w:rPr>
          <w:rFonts w:ascii="Calibri" w:cs="Calibri" w:eastAsia="Calibri" w:hAnsi="Calibri"/>
          <w:sz w:val="22"/>
          <w:szCs w:val="22"/>
        </w:rPr>
        <w:t xml:space="preserve"> “progress reporting through meaningful metrics” and “analyse and report test activities” → reporting = 1 (the word names a duty). KPI definition, analysis or visualisation without report production, and service-level KPIs used as targets → no tag.</w:t>
      </w:r>
    </w:p>
    <w:p>
      <w:pPr>
        <w:pStyle w:val="ListParagraph"/>
        <w:numPr>
          <w:ilvl w:val="0"/>
          <w:numId w:val="2"/>
        </w:numPr>
        <w:spacing w:after="80" w:line="276"/>
      </w:pPr>
      <w:r>
        <w:rPr>
          <w:rFonts w:ascii="Calibri" w:cs="Calibri" w:eastAsia="Calibri" w:hAnsi="Calibri"/>
          <w:b/>
          <w:bCs/>
          <w:sz w:val="22"/>
          <w:szCs w:val="22"/>
        </w:rPr>
        <w:t xml:space="preserve">BI tools:</w:t>
      </w:r>
      <w:r>
        <w:rPr>
          <w:rFonts w:ascii="Calibri" w:cs="Calibri" w:eastAsia="Calibri" w:hAnsi="Calibri"/>
          <w:sz w:val="22"/>
          <w:szCs w:val="22"/>
        </w:rPr>
        <w:t xml:space="preserve"> Power BI, Tableau, Qlik → visualisation (3). The bare phrase “business intelligence” or “BI software” with no named tool or activity → no tag (there is no standalone BI category; it was cut as non-discriminative and circular).</w:t>
      </w:r>
    </w:p>
    <w:p>
      <w:pPr>
        <w:pStyle w:val="ListParagraph"/>
        <w:numPr>
          <w:ilvl w:val="0"/>
          <w:numId w:val="2"/>
        </w:numPr>
        <w:spacing w:after="80" w:line="276"/>
      </w:pPr>
      <w:r>
        <w:rPr>
          <w:rFonts w:ascii="Calibri" w:cs="Calibri" w:eastAsia="Calibri" w:hAnsi="Calibri"/>
          <w:b/>
          <w:bCs/>
          <w:sz w:val="22"/>
          <w:szCs w:val="22"/>
        </w:rPr>
        <w:t xml:space="preserve">ETL vs data modelling:</w:t>
      </w:r>
      <w:r>
        <w:rPr>
          <w:rFonts w:ascii="Calibri" w:cs="Calibri" w:eastAsia="Calibri" w:hAnsi="Calibri"/>
          <w:sz w:val="22"/>
          <w:szCs w:val="22"/>
        </w:rPr>
        <w:t xml:space="preserve"> pipelines, ingestion, integration, warehousing → ETL (9). Schema and structure design → modelling (10). “Design and build the data warehouse” → both.</w:t>
      </w:r>
    </w:p>
    <w:p>
      <w:pPr>
        <w:pStyle w:val="ListParagraph"/>
        <w:numPr>
          <w:ilvl w:val="0"/>
          <w:numId w:val="2"/>
        </w:numPr>
        <w:spacing w:after="80" w:line="276"/>
      </w:pPr>
      <w:r>
        <w:rPr>
          <w:rFonts w:ascii="Calibri" w:cs="Calibri" w:eastAsia="Calibri" w:hAnsi="Calibri"/>
          <w:b/>
          <w:bCs/>
          <w:sz w:val="22"/>
          <w:szCs w:val="22"/>
        </w:rPr>
        <w:t xml:space="preserve">Financial and generic “modelling”:</w:t>
      </w:r>
      <w:r>
        <w:rPr>
          <w:rFonts w:ascii="Calibri" w:cs="Calibri" w:eastAsia="Calibri" w:hAnsi="Calibri"/>
          <w:sz w:val="22"/>
          <w:szCs w:val="22"/>
        </w:rPr>
        <w:t xml:space="preserve"> annotation is lexicon-literal. “Forecasting” is tagged wherever it appears in duties, including financial forecasting, because the automated methods see the same word and domain-dependent human judgement would be unfair to them and inconsistent across 300 postings. Conversely “financial modelling”, “business modelling”, “modelling demand”, “model the data” and “hybrid working model” are NOT data modelling, which requires data-model, schema or dimensional terms.</w:t>
      </w:r>
    </w:p>
    <w:p>
      <w:pPr>
        <w:pStyle w:val="ListParagraph"/>
        <w:numPr>
          <w:ilvl w:val="0"/>
          <w:numId w:val="2"/>
        </w:numPr>
        <w:spacing w:after="80" w:line="276"/>
      </w:pPr>
      <w:r>
        <w:rPr>
          <w:rFonts w:ascii="Calibri" w:cs="Calibri" w:eastAsia="Calibri" w:hAnsi="Calibri"/>
          <w:b/>
          <w:bCs/>
          <w:sz w:val="22"/>
          <w:szCs w:val="22"/>
        </w:rPr>
        <w:t xml:space="preserve">Statistics vs ML:</w:t>
      </w:r>
      <w:r>
        <w:rPr>
          <w:rFonts w:ascii="Calibri" w:cs="Calibri" w:eastAsia="Calibri" w:hAnsi="Calibri"/>
          <w:sz w:val="22"/>
          <w:szCs w:val="22"/>
        </w:rPr>
        <w:t xml:space="preserve"> “statistical modelling” → statistics (6). “predictive modelling”, “feature engineering”, “model development” in a data-science context → ML (7). Bare “build models” or “predictive insights” with no qualifier → neither; record in notes.</w:t>
      </w:r>
    </w:p>
    <w:p>
      <w:pPr>
        <w:pStyle w:val="ListParagraph"/>
        <w:numPr>
          <w:ilvl w:val="0"/>
          <w:numId w:val="2"/>
        </w:numPr>
        <w:spacing w:after="80" w:line="276"/>
      </w:pPr>
      <w:r>
        <w:rPr>
          <w:rFonts w:ascii="Calibri" w:cs="Calibri" w:eastAsia="Calibri" w:hAnsi="Calibri"/>
          <w:b/>
          <w:bCs/>
          <w:sz w:val="22"/>
          <w:szCs w:val="22"/>
        </w:rPr>
        <w:t xml:space="preserve">Compound mentions:</w:t>
      </w:r>
      <w:r>
        <w:rPr>
          <w:rFonts w:ascii="Calibri" w:cs="Calibri" w:eastAsia="Calibri" w:hAnsi="Calibri"/>
          <w:sz w:val="22"/>
          <w:szCs w:val="22"/>
        </w:rPr>
        <w:t xml:space="preserve"> “Excel including VBA/macros” → spreadsheets (5) AND programming (1). “SQL for cleansing and manipulating data” → SQL (2) AND cleaning (8). Multi-tool sentences frequently earn four to six tags; they are the highest-yield lines in a posting.</w:t>
      </w:r>
    </w:p>
    <w:p>
      <w:pPr>
        <w:pStyle w:val="ListParagraph"/>
        <w:numPr>
          <w:ilvl w:val="0"/>
          <w:numId w:val="2"/>
        </w:numPr>
        <w:spacing w:after="80" w:line="276"/>
      </w:pPr>
      <w:r>
        <w:rPr>
          <w:rFonts w:ascii="Calibri" w:cs="Calibri" w:eastAsia="Calibri" w:hAnsi="Calibri"/>
          <w:b/>
          <w:bCs/>
          <w:sz w:val="22"/>
          <w:szCs w:val="22"/>
        </w:rPr>
        <w:t xml:space="preserve">The “excellent” trap:</w:t>
      </w:r>
      <w:r>
        <w:rPr>
          <w:rFonts w:ascii="Calibri" w:cs="Calibri" w:eastAsia="Calibri" w:hAnsi="Calibri"/>
          <w:sz w:val="22"/>
          <w:szCs w:val="22"/>
        </w:rPr>
        <w:t xml:space="preserve"> never tag Excel from “excellent”, “Excellence” or “excel within a high-performing team”.</w:t>
      </w:r>
    </w:p>
    <w:p>
      <w:pPr>
        <w:pStyle w:val="ListParagraph"/>
        <w:numPr>
          <w:ilvl w:val="0"/>
          <w:numId w:val="2"/>
        </w:numPr>
        <w:spacing w:after="80" w:line="276"/>
      </w:pPr>
      <w:r>
        <w:rPr>
          <w:rFonts w:ascii="Calibri" w:cs="Calibri" w:eastAsia="Calibri" w:hAnsi="Calibri"/>
          <w:b/>
          <w:bCs/>
          <w:sz w:val="22"/>
          <w:szCs w:val="22"/>
        </w:rPr>
        <w:t xml:space="preserve">Homonyms and product names:</w:t>
      </w:r>
      <w:r>
        <w:rPr>
          <w:rFonts w:ascii="Calibri" w:cs="Calibri" w:eastAsia="Calibri" w:hAnsi="Calibri"/>
          <w:sz w:val="22"/>
          <w:szCs w:val="22"/>
        </w:rPr>
        <w:t xml:space="preserve"> a named product that happens to contain a lexicon word receives no tag: “demand pipeline” and “drug pipeline” (not ETL), “clinical coding” (not programming), Salesforce “Sales Cloud” / “Service Cloud” (not cloud), “Hyperion (Oracle)” and “Oracle Fusion/EPM” and “Oracle cloud services” (not an Oracle database), “Clinical Income Dashboard” as a system name (not visualisation), PowerPivot (an Excel add-in, not a visualisation tool).</w:t>
      </w:r>
    </w:p>
    <w:p>
      <w:pPr>
        <w:pStyle w:val="ListParagraph"/>
        <w:numPr>
          <w:ilvl w:val="0"/>
          <w:numId w:val="2"/>
        </w:numPr>
        <w:spacing w:after="80" w:line="276"/>
      </w:pPr>
      <w:r>
        <w:rPr>
          <w:rFonts w:ascii="Calibri" w:cs="Calibri" w:eastAsia="Calibri" w:hAnsi="Calibri"/>
          <w:b/>
          <w:bCs/>
          <w:sz w:val="22"/>
          <w:szCs w:val="22"/>
        </w:rPr>
        <w:t xml:space="preserve">Colleagues, teams and domains:</w:t>
      </w:r>
      <w:r>
        <w:rPr>
          <w:rFonts w:ascii="Calibri" w:cs="Calibri" w:eastAsia="Calibri" w:hAnsi="Calibri"/>
          <w:sz w:val="22"/>
          <w:szCs w:val="22"/>
        </w:rPr>
        <w:t xml:space="preserve"> a lexicon word naming a colleague or another team receives no tag: “the Data Warehouse Manager”, “the Data Warehouse team”, “working with statisticians”. Likewise where the lexicon word names the business domain being analysed rather than a tool used (“help us manage AWS Regions”).</w:t>
      </w:r>
    </w:p>
    <w:p>
      <w:pPr>
        <w:pStyle w:val="ListParagraph"/>
        <w:numPr>
          <w:ilvl w:val="0"/>
          <w:numId w:val="2"/>
        </w:numPr>
        <w:spacing w:after="80" w:line="276"/>
      </w:pPr>
      <w:r>
        <w:rPr>
          <w:rFonts w:ascii="Calibri" w:cs="Calibri" w:eastAsia="Calibri" w:hAnsi="Calibri"/>
          <w:b/>
          <w:bCs/>
          <w:sz w:val="22"/>
          <w:szCs w:val="22"/>
        </w:rPr>
        <w:t xml:space="preserve">Communication boilerplate:</w:t>
      </w:r>
      <w:r>
        <w:rPr>
          <w:rFonts w:ascii="Calibri" w:cs="Calibri" w:eastAsia="Calibri" w:hAnsi="Calibri"/>
          <w:sz w:val="22"/>
          <w:szCs w:val="22"/>
        </w:rPr>
        <w:t xml:space="preserve"> generic soft-skill boilerplate in an attribute list (“excellent communication skills”) → tag 1. “Excellent interpersonal skills”, “team player”, “collaborative” with no lexicon term → no tag. “Internal communications” naming the product or output rather than a skill → no tag.</w:t>
      </w:r>
    </w:p>
    <w:p>
      <w:pPr>
        <w:pStyle w:val="ListParagraph"/>
        <w:numPr>
          <w:ilvl w:val="0"/>
          <w:numId w:val="2"/>
        </w:numPr>
        <w:spacing w:after="80" w:line="276"/>
      </w:pPr>
      <w:r>
        <w:rPr>
          <w:rFonts w:ascii="Calibri" w:cs="Calibri" w:eastAsia="Calibri" w:hAnsi="Calibri"/>
          <w:b/>
          <w:bCs/>
          <w:sz w:val="22"/>
          <w:szCs w:val="22"/>
        </w:rPr>
        <w:t xml:space="preserve">Enterprise systems:</w:t>
      </w:r>
      <w:r>
        <w:rPr>
          <w:rFonts w:ascii="Calibri" w:cs="Calibri" w:eastAsia="Calibri" w:hAnsi="Calibri"/>
          <w:sz w:val="22"/>
          <w:szCs w:val="22"/>
        </w:rPr>
        <w:t xml:space="preserve"> ERP, CRM and enterprise platforms (SAP, D365, Dynamics, Agresso, Netsuite, Salesforce) are systems, not data-analysis skills, and are excluded from Other — unless the role is fundamentally that system’s work, in which case they are recorded in Other verbatim. MS Access is treated as a database → SQL (2).</w:t>
      </w:r>
    </w:p>
    <w:p>
      <w:pPr>
        <w:pStyle w:val="ListParagraph"/>
        <w:numPr>
          <w:ilvl w:val="0"/>
          <w:numId w:val="2"/>
        </w:numPr>
        <w:spacing w:after="80" w:line="276"/>
      </w:pPr>
      <w:r>
        <w:rPr>
          <w:rFonts w:ascii="Calibri" w:cs="Calibri" w:eastAsia="Calibri" w:hAnsi="Calibri"/>
          <w:b/>
          <w:bCs/>
          <w:sz w:val="22"/>
          <w:szCs w:val="22"/>
        </w:rPr>
        <w:t xml:space="preserve">Verbatim requirement:</w:t>
      </w:r>
      <w:r>
        <w:rPr>
          <w:rFonts w:ascii="Calibri" w:cs="Calibri" w:eastAsia="Calibri" w:hAnsi="Calibri"/>
          <w:sz w:val="22"/>
          <w:szCs w:val="22"/>
        </w:rPr>
        <w:t xml:space="preserve"> when other = 1, other_skills_verbatim MUST contain the posting’s own words. An Other tag with an empty verbatim cell is invalid.</w:t>
      </w:r>
    </w:p>
    <w:p>
      <w:pPr>
        <w:pStyle w:val="Heading1"/>
        <w:spacing w:after="140" w:before="280"/>
      </w:pPr>
      <w:r>
        <w:rPr>
          <w:rFonts w:ascii="Calibri" w:cs="Calibri" w:eastAsia="Calibri" w:hAnsi="Calibri"/>
          <w:b/>
          <w:bCs/>
          <w:color w:val="2F5496"/>
          <w:sz w:val="28"/>
          <w:szCs w:val="28"/>
        </w:rPr>
        <w:t xml:space="preserve">4. Edge case procedure</w:t>
      </w:r>
    </w:p>
    <w:p>
      <w:pPr>
        <w:pStyle w:val="ListParagraph"/>
        <w:numPr>
          <w:ilvl w:val="0"/>
          <w:numId w:val="2"/>
        </w:numPr>
        <w:spacing w:after="80" w:line="276"/>
      </w:pPr>
      <w:r>
        <w:rPr>
          <w:rFonts w:ascii="Calibri" w:cs="Calibri" w:eastAsia="Calibri" w:hAnsi="Calibri"/>
          <w:sz w:val="22"/>
          <w:szCs w:val="22"/>
        </w:rPr>
        <w:t xml:space="preserve">When uncertain, apply the explicit-mention rule conservatively: no named skill, no tag.</w:t>
      </w:r>
    </w:p>
    <w:p>
      <w:pPr>
        <w:pStyle w:val="ListParagraph"/>
        <w:numPr>
          <w:ilvl w:val="0"/>
          <w:numId w:val="2"/>
        </w:numPr>
        <w:spacing w:after="80" w:line="276"/>
      </w:pPr>
      <w:r>
        <w:rPr>
          <w:rFonts w:ascii="Calibri" w:cs="Calibri" w:eastAsia="Calibri" w:hAnsi="Calibri"/>
          <w:sz w:val="22"/>
          <w:szCs w:val="22"/>
        </w:rPr>
        <w:t xml:space="preserve">Record uncertain decisions in the notes column with the text span in question.</w:t>
      </w:r>
    </w:p>
    <w:p>
      <w:pPr>
        <w:pStyle w:val="ListParagraph"/>
        <w:numPr>
          <w:ilvl w:val="0"/>
          <w:numId w:val="2"/>
        </w:numPr>
        <w:spacing w:after="80" w:line="276"/>
      </w:pPr>
      <w:r>
        <w:rPr>
          <w:rFonts w:ascii="Calibri" w:cs="Calibri" w:eastAsia="Calibri" w:hAnsi="Calibri"/>
          <w:sz w:val="22"/>
          <w:szCs w:val="22"/>
        </w:rPr>
        <w:t xml:space="preserve">Decide each recurring edge case once, add it to Section 3.1, and apply it to all postings, re-checking earlier ones where the decision changed.</w:t>
      </w:r>
    </w:p>
    <w:p>
      <w:pPr>
        <w:pStyle w:val="ListParagraph"/>
        <w:numPr>
          <w:ilvl w:val="0"/>
          <w:numId w:val="2"/>
        </w:numPr>
        <w:spacing w:after="80" w:line="276"/>
      </w:pPr>
      <w:r>
        <w:rPr>
          <w:rFonts w:ascii="Calibri" w:cs="Calibri" w:eastAsia="Calibri" w:hAnsi="Calibri"/>
          <w:sz w:val="22"/>
          <w:szCs w:val="22"/>
        </w:rPr>
        <w:t xml:space="preserve">Where a posting’s job_title and body describe different roles (a source-data mismatch), annotate from the body and flag the record. One such case (P253) was identified; see Section 9.</w:t>
      </w:r>
    </w:p>
    <w:p>
      <w:pPr>
        <w:pStyle w:val="Heading1"/>
        <w:spacing w:after="140" w:before="280"/>
      </w:pPr>
      <w:r>
        <w:rPr>
          <w:rFonts w:ascii="Calibri" w:cs="Calibri" w:eastAsia="Calibri" w:hAnsi="Calibri"/>
          <w:b/>
          <w:bCs/>
          <w:color w:val="2F5496"/>
          <w:sz w:val="28"/>
          <w:szCs w:val="28"/>
        </w:rPr>
        <w:t xml:space="preserve">5. Seniority field</w:t>
      </w:r>
    </w:p>
    <w:p>
      <w:pPr>
        <w:spacing w:after="120" w:line="276"/>
      </w:pPr>
      <w:r>
        <w:rPr>
          <w:rFonts w:ascii="Calibri" w:cs="Calibri" w:eastAsia="Calibri" w:hAnsi="Calibri"/>
          <w:sz w:val="22"/>
          <w:szCs w:val="22"/>
        </w:rPr>
        <w:t xml:space="preserve">Exactly one label per posting: junior / mid / senior / unspecified. Observed distribution: unspecified 185, senior 106, junior 7, mid 2.</w:t>
      </w:r>
    </w:p>
    <w:p>
      <w:pPr>
        <w:pStyle w:val="ListParagraph"/>
        <w:numPr>
          <w:ilvl w:val="0"/>
          <w:numId w:val="2"/>
        </w:numPr>
        <w:spacing w:after="80" w:line="276"/>
      </w:pPr>
      <w:r>
        <w:rPr>
          <w:rFonts w:ascii="Calibri" w:cs="Calibri" w:eastAsia="Calibri" w:hAnsi="Calibri"/>
          <w:b/>
          <w:bCs/>
          <w:sz w:val="22"/>
          <w:szCs w:val="22"/>
        </w:rPr>
        <w:t xml:space="preserve">Rule 1 (title precedence):</w:t>
      </w:r>
      <w:r>
        <w:rPr>
          <w:rFonts w:ascii="Calibri" w:cs="Calibri" w:eastAsia="Calibri" w:hAnsi="Calibri"/>
          <w:sz w:val="22"/>
          <w:szCs w:val="22"/>
        </w:rPr>
        <w:t xml:space="preserve"> the job title decides. “Senior”, “Lead”, “Principal” → senior. “Junior”, “Graduate”, “Trainee”, “Entry-level” → junior. “Mid-level”, “Analyst II” → mid.</w:t>
      </w:r>
    </w:p>
    <w:p>
      <w:pPr>
        <w:pStyle w:val="ListParagraph"/>
        <w:numPr>
          <w:ilvl w:val="0"/>
          <w:numId w:val="2"/>
        </w:numPr>
        <w:spacing w:after="80" w:line="276"/>
      </w:pPr>
      <w:r>
        <w:rPr>
          <w:rFonts w:ascii="Calibri" w:cs="Calibri" w:eastAsia="Calibri" w:hAnsi="Calibri"/>
          <w:b/>
          <w:bCs/>
          <w:sz w:val="22"/>
          <w:szCs w:val="22"/>
        </w:rPr>
        <w:t xml:space="preserve">Rule 2 (body evidence):</w:t>
      </w:r>
      <w:r>
        <w:rPr>
          <w:rFonts w:ascii="Calibri" w:cs="Calibri" w:eastAsia="Calibri" w:hAnsi="Calibri"/>
          <w:sz w:val="22"/>
          <w:szCs w:val="22"/>
        </w:rPr>
        <w:t xml:space="preserve"> where the title is silent, explicit body statements decide: “entry-level” → junior; a stated requirement of 5+ years → senior; 2–4 years → mid.</w:t>
      </w:r>
    </w:p>
    <w:p>
      <w:pPr>
        <w:pStyle w:val="ListParagraph"/>
        <w:numPr>
          <w:ilvl w:val="0"/>
          <w:numId w:val="2"/>
        </w:numPr>
        <w:spacing w:after="80" w:line="276"/>
      </w:pPr>
      <w:r>
        <w:rPr>
          <w:rFonts w:ascii="Calibri" w:cs="Calibri" w:eastAsia="Calibri" w:hAnsi="Calibri"/>
          <w:b/>
          <w:bCs/>
          <w:sz w:val="22"/>
          <w:szCs w:val="22"/>
        </w:rPr>
        <w:t xml:space="preserve">Rule 3 (default):</w:t>
      </w:r>
      <w:r>
        <w:rPr>
          <w:rFonts w:ascii="Calibri" w:cs="Calibri" w:eastAsia="Calibri" w:hAnsi="Calibri"/>
          <w:sz w:val="22"/>
          <w:szCs w:val="22"/>
        </w:rPr>
        <w:t xml:space="preserve"> otherwise → unspecified. Never infer seniority from salary, responsibilities, or tone.</w:t>
      </w:r>
    </w:p>
    <w:p>
      <w:pPr>
        <w:pStyle w:val="ListParagraph"/>
        <w:numPr>
          <w:ilvl w:val="0"/>
          <w:numId w:val="2"/>
        </w:numPr>
        <w:spacing w:after="80" w:line="276"/>
      </w:pPr>
      <w:r>
        <w:rPr>
          <w:rFonts w:ascii="Calibri" w:cs="Calibri" w:eastAsia="Calibri" w:hAnsi="Calibri"/>
          <w:b/>
          <w:bCs/>
          <w:sz w:val="22"/>
          <w:szCs w:val="22"/>
        </w:rPr>
        <w:t xml:space="preserve">Rule 4 (conflict):</w:t>
      </w:r>
      <w:r>
        <w:rPr>
          <w:rFonts w:ascii="Calibri" w:cs="Calibri" w:eastAsia="Calibri" w:hAnsi="Calibri"/>
          <w:sz w:val="22"/>
          <w:szCs w:val="22"/>
        </w:rPr>
        <w:t xml:space="preserve"> title vs body conflicts → title wins; record in notes.</w:t>
      </w:r>
    </w:p>
    <w:p>
      <w:pPr>
        <w:pStyle w:val="ListParagraph"/>
        <w:numPr>
          <w:ilvl w:val="0"/>
          <w:numId w:val="2"/>
        </w:numPr>
        <w:spacing w:after="80" w:line="276"/>
      </w:pPr>
      <w:r>
        <w:rPr>
          <w:rFonts w:ascii="Calibri" w:cs="Calibri" w:eastAsia="Calibri" w:hAnsi="Calibri"/>
          <w:b/>
          <w:bCs/>
          <w:sz w:val="22"/>
          <w:szCs w:val="22"/>
        </w:rPr>
        <w:t xml:space="preserve">Rule 5 (multi-level adverts):</w:t>
      </w:r>
      <w:r>
        <w:rPr>
          <w:rFonts w:ascii="Calibri" w:cs="Calibri" w:eastAsia="Calibri" w:hAnsi="Calibri"/>
          <w:sz w:val="22"/>
          <w:szCs w:val="22"/>
        </w:rPr>
        <w:t xml:space="preserve"> a single advert offering two or more levels (“Business Analyst (Senior / Mid Level)”) → unspecified, since no single label is correct and the field feeds group comparisons.</w:t>
      </w:r>
    </w:p>
    <w:p>
      <w:pPr>
        <w:pStyle w:val="Heading1"/>
        <w:spacing w:after="140" w:before="280"/>
      </w:pPr>
      <w:r>
        <w:rPr>
          <w:rFonts w:ascii="Calibri" w:cs="Calibri" w:eastAsia="Calibri" w:hAnsi="Calibri"/>
          <w:b/>
          <w:bCs/>
          <w:color w:val="2F5496"/>
          <w:sz w:val="28"/>
          <w:szCs w:val="28"/>
        </w:rPr>
        <w:t xml:space="preserve">6. Role family field</w:t>
      </w:r>
    </w:p>
    <w:p>
      <w:pPr>
        <w:spacing w:after="120" w:line="276"/>
      </w:pPr>
      <w:r>
        <w:rPr>
          <w:rFonts w:ascii="Calibri" w:cs="Calibri" w:eastAsia="Calibri" w:hAnsi="Calibri"/>
          <w:sz w:val="22"/>
          <w:szCs w:val="22"/>
        </w:rPr>
        <w:t xml:space="preserve">Exactly one label per posting: data analyst / business analyst / finance analyst / marketing analyst / data scientist / analytics engineering. A provisional label derived from title rules was pre-filled and verified against the body during annotation; four labels were corrected. Observed distribution: business analyst 98, data analyst 91, finance analyst 84, data scientist 17, marketing analyst 7, analytics engineering 3.</w:t>
      </w:r>
    </w:p>
    <w:p>
      <w:pPr>
        <w:pStyle w:val="ListParagraph"/>
        <w:numPr>
          <w:ilvl w:val="0"/>
          <w:numId w:val="2"/>
        </w:numPr>
        <w:spacing w:after="80" w:line="276"/>
      </w:pPr>
      <w:r>
        <w:rPr>
          <w:rFonts w:ascii="Calibri" w:cs="Calibri" w:eastAsia="Calibri" w:hAnsi="Calibri"/>
          <w:b/>
          <w:bCs/>
          <w:sz w:val="22"/>
          <w:szCs w:val="22"/>
        </w:rPr>
        <w:t xml:space="preserve">Rule:</w:t>
      </w:r>
      <w:r>
        <w:rPr>
          <w:rFonts w:ascii="Calibri" w:cs="Calibri" w:eastAsia="Calibri" w:hAnsi="Calibri"/>
          <w:sz w:val="22"/>
          <w:szCs w:val="22"/>
        </w:rPr>
        <w:t xml:space="preserve"> the advertised role’s primary function decides, from title first and body second. BI / insight / reporting / MI analyst titles → data analyst. FP&amp;A, commercial, financial, treasury → finance analyst. Web / digital analytics → marketing analyst.</w:t>
      </w:r>
    </w:p>
    <w:p>
      <w:pPr>
        <w:pStyle w:val="ListParagraph"/>
        <w:numPr>
          <w:ilvl w:val="0"/>
          <w:numId w:val="2"/>
        </w:numPr>
        <w:spacing w:after="80" w:line="276"/>
      </w:pPr>
      <w:r>
        <w:rPr>
          <w:rFonts w:ascii="Calibri" w:cs="Calibri" w:eastAsia="Calibri" w:hAnsi="Calibri"/>
          <w:b/>
          <w:bCs/>
          <w:sz w:val="22"/>
          <w:szCs w:val="22"/>
        </w:rPr>
        <w:t xml:space="preserve">Hybrids:</w:t>
      </w:r>
      <w:r>
        <w:rPr>
          <w:rFonts w:ascii="Calibri" w:cs="Calibri" w:eastAsia="Calibri" w:hAnsi="Calibri"/>
          <w:sz w:val="22"/>
          <w:szCs w:val="22"/>
        </w:rPr>
        <w:t xml:space="preserve"> hybrid titles → the dominant function described in the body; if indeterminate, the first-listed title, recorded in notes.</w:t>
      </w:r>
    </w:p>
    <w:p>
      <w:pPr>
        <w:pStyle w:val="Heading1"/>
        <w:spacing w:after="140" w:before="280"/>
      </w:pPr>
      <w:r>
        <w:rPr>
          <w:rFonts w:ascii="Calibri" w:cs="Calibri" w:eastAsia="Calibri" w:hAnsi="Calibri"/>
          <w:b/>
          <w:bCs/>
          <w:color w:val="2F5496"/>
          <w:sz w:val="28"/>
          <w:szCs w:val="28"/>
        </w:rPr>
        <w:t xml:space="preserve">7. Corpus construction and exclusions</w:t>
      </w:r>
    </w:p>
    <w:p>
      <w:pPr>
        <w:spacing w:after="120" w:line="276"/>
      </w:pPr>
      <w:r>
        <w:rPr>
          <w:rFonts w:ascii="Calibri" w:cs="Calibri" w:eastAsia="Calibri" w:hAnsi="Calibri"/>
          <w:sz w:val="22"/>
          <w:szCs w:val="22"/>
        </w:rPr>
        <w:t xml:space="preserve">The corpus was derived from the asaniczka 1.3M LinkedIn Jobs &amp; Skills (2024) dataset by filtering to UK postings whose titles matched the six ToR role families, then merging the companion description file. Successive cleaning stages were:</w:t>
      </w:r>
    </w:p>
    <w:p>
      <w:pPr>
        <w:pStyle w:val="ListParagraph"/>
        <w:numPr>
          <w:ilvl w:val="0"/>
          <w:numId w:val="2"/>
        </w:numPr>
        <w:spacing w:after="80" w:line="276"/>
      </w:pPr>
      <w:r>
        <w:rPr>
          <w:rFonts w:ascii="Calibri" w:cs="Calibri" w:eastAsia="Calibri" w:hAnsi="Calibri"/>
          <w:b/>
          <w:bCs/>
          <w:sz w:val="22"/>
          <w:szCs w:val="22"/>
        </w:rPr>
        <w:t xml:space="preserve">Title filter:</w:t>
      </w:r>
      <w:r>
        <w:rPr>
          <w:rFonts w:ascii="Calibri" w:cs="Calibri" w:eastAsia="Calibri" w:hAnsi="Calibri"/>
          <w:sz w:val="22"/>
          <w:szCs w:val="22"/>
        </w:rPr>
        <w:t xml:space="preserve"> 994 postings retained by the title filter.</w:t>
      </w:r>
    </w:p>
    <w:p>
      <w:pPr>
        <w:pStyle w:val="ListParagraph"/>
        <w:numPr>
          <w:ilvl w:val="0"/>
          <w:numId w:val="2"/>
        </w:numPr>
        <w:spacing w:after="80" w:line="276"/>
      </w:pPr>
      <w:r>
        <w:rPr>
          <w:rFonts w:ascii="Calibri" w:cs="Calibri" w:eastAsia="Calibri" w:hAnsi="Calibri"/>
          <w:b/>
          <w:bCs/>
          <w:sz w:val="22"/>
          <w:szCs w:val="22"/>
        </w:rPr>
        <w:t xml:space="preserve">Exact duplicate descriptions:</w:t>
      </w:r>
      <w:r>
        <w:rPr>
          <w:rFonts w:ascii="Calibri" w:cs="Calibri" w:eastAsia="Calibri" w:hAnsi="Calibri"/>
          <w:sz w:val="22"/>
          <w:szCs w:val="22"/>
        </w:rPr>
        <w:t xml:space="preserve"> 62 removed → 932.</w:t>
      </w:r>
    </w:p>
    <w:p>
      <w:pPr>
        <w:pStyle w:val="ListParagraph"/>
        <w:numPr>
          <w:ilvl w:val="0"/>
          <w:numId w:val="2"/>
        </w:numPr>
        <w:spacing w:after="80" w:line="276"/>
      </w:pPr>
      <w:r>
        <w:rPr>
          <w:rFonts w:ascii="Calibri" w:cs="Calibri" w:eastAsia="Calibri" w:hAnsi="Calibri"/>
          <w:b/>
          <w:bCs/>
          <w:sz w:val="22"/>
          <w:szCs w:val="22"/>
        </w:rPr>
        <w:t xml:space="preserve">Fraudulent / spam adverts (data-entry scam template):</w:t>
      </w:r>
      <w:r>
        <w:rPr>
          <w:rFonts w:ascii="Calibri" w:cs="Calibri" w:eastAsia="Calibri" w:hAnsi="Calibri"/>
          <w:sz w:val="22"/>
          <w:szCs w:val="22"/>
        </w:rPr>
        <w:t xml:space="preserve"> 5 removed → 927.</w:t>
      </w:r>
    </w:p>
    <w:p>
      <w:pPr>
        <w:pStyle w:val="ListParagraph"/>
        <w:numPr>
          <w:ilvl w:val="0"/>
          <w:numId w:val="2"/>
        </w:numPr>
        <w:spacing w:after="80" w:line="276"/>
      </w:pPr>
      <w:r>
        <w:rPr>
          <w:rFonts w:ascii="Calibri" w:cs="Calibri" w:eastAsia="Calibri" w:hAnsi="Calibri"/>
          <w:b/>
          <w:bCs/>
          <w:sz w:val="22"/>
          <w:szCs w:val="22"/>
        </w:rPr>
        <w:t xml:space="preserve">Aggregator stubs and non-UK postings:</w:t>
      </w:r>
      <w:r>
        <w:rPr>
          <w:rFonts w:ascii="Calibri" w:cs="Calibri" w:eastAsia="Calibri" w:hAnsi="Calibri"/>
          <w:sz w:val="22"/>
          <w:szCs w:val="22"/>
        </w:rPr>
        <w:t xml:space="preserve"> adverts with no substantive description (“click apply to read the full description” or under 500 characters) and roles located outside the UK (relocation adverts): 26 removed → 901.</w:t>
      </w:r>
    </w:p>
    <w:p>
      <w:pPr>
        <w:pStyle w:val="ListParagraph"/>
        <w:numPr>
          <w:ilvl w:val="0"/>
          <w:numId w:val="2"/>
        </w:numPr>
        <w:spacing w:after="80" w:line="276"/>
      </w:pPr>
      <w:r>
        <w:rPr>
          <w:rFonts w:ascii="Calibri" w:cs="Calibri" w:eastAsia="Calibri" w:hAnsi="Calibri"/>
          <w:b/>
          <w:bCs/>
          <w:sz w:val="22"/>
          <w:szCs w:val="22"/>
        </w:rPr>
        <w:t xml:space="preserve">Near-duplicate descriptions:</w:t>
      </w:r>
      <w:r>
        <w:rPr>
          <w:rFonts w:ascii="Calibri" w:cs="Calibri" w:eastAsia="Calibri" w:hAnsi="Calibri"/>
          <w:sz w:val="22"/>
          <w:szCs w:val="22"/>
        </w:rPr>
        <w:t xml:space="preserve"> TF-IDF cosine similarity above 0.90, retaining one posting per cluster: 81 removed → 820. 17% of postings were involved in at least one near-duplicate pair, a redundancy rate rarely reported for scraped job-posting corpora.</w:t>
      </w:r>
    </w:p>
    <w:p>
      <w:pPr>
        <w:pStyle w:val="ListParagraph"/>
        <w:numPr>
          <w:ilvl w:val="0"/>
          <w:numId w:val="2"/>
        </w:numPr>
        <w:spacing w:after="80" w:line="276"/>
      </w:pPr>
      <w:r>
        <w:rPr>
          <w:rFonts w:ascii="Calibri" w:cs="Calibri" w:eastAsia="Calibri" w:hAnsi="Calibri"/>
          <w:b/>
          <w:bCs/>
          <w:sz w:val="22"/>
          <w:szCs w:val="22"/>
        </w:rPr>
        <w:t xml:space="preserve">Markup cleaning:</w:t>
      </w:r>
      <w:r>
        <w:rPr>
          <w:rFonts w:ascii="Calibri" w:cs="Calibri" w:eastAsia="Calibri" w:hAnsi="Calibri"/>
          <w:sz w:val="22"/>
          <w:szCs w:val="22"/>
        </w:rPr>
        <w:t xml:space="preserve"> residual HTML list markup was stripped from one posting and converted to plain text.</w:t>
      </w:r>
    </w:p>
    <w:p>
      <w:pPr>
        <w:spacing w:after="120" w:line="276"/>
      </w:pPr>
      <w:r>
        <w:rPr>
          <w:rFonts w:ascii="Calibri" w:cs="Calibri" w:eastAsia="Calibri" w:hAnsi="Calibri"/>
          <w:sz w:val="22"/>
          <w:szCs w:val="22"/>
        </w:rPr>
        <w:t xml:space="preserve">The gold-standard sample of 300 was drawn from the cleaned corpus by proportional stratified sampling on role family with a fixed random seed (42), and redrawn after near-duplicate removal so that no sampled posting has a near-duplicate elsewhere in the corpus.</w:t>
      </w:r>
    </w:p>
    <w:p>
      <w:pPr>
        <w:pStyle w:val="Heading1"/>
        <w:spacing w:after="140" w:before="280"/>
      </w:pPr>
      <w:r>
        <w:rPr>
          <w:rFonts w:ascii="Calibri" w:cs="Calibri" w:eastAsia="Calibri" w:hAnsi="Calibri"/>
          <w:b/>
          <w:bCs/>
          <w:color w:val="2F5496"/>
          <w:sz w:val="28"/>
          <w:szCs w:val="28"/>
        </w:rPr>
        <w:t xml:space="preserve">8. Annotation protocol as executed</w:t>
      </w:r>
    </w:p>
    <w:p>
      <w:pPr>
        <w:spacing w:after="120" w:line="276"/>
      </w:pPr>
      <w:r>
        <w:rPr>
          <w:rFonts w:ascii="Calibri" w:cs="Calibri" w:eastAsia="Calibri" w:hAnsi="Calibri"/>
          <w:sz w:val="22"/>
          <w:szCs w:val="22"/>
        </w:rPr>
        <w:t xml:space="preserve">Annotation followed a two-pass protocol, documented here because it differs from single-pass annotation and materially affects the reliability of the gold standard.</w:t>
      </w:r>
    </w:p>
    <w:p>
      <w:pPr>
        <w:pStyle w:val="ListParagraph"/>
        <w:numPr>
          <w:ilvl w:val="0"/>
          <w:numId w:val="2"/>
        </w:numPr>
        <w:spacing w:after="80" w:line="276"/>
      </w:pPr>
      <w:r>
        <w:rPr>
          <w:rFonts w:ascii="Calibri" w:cs="Calibri" w:eastAsia="Calibri" w:hAnsi="Calibri"/>
          <w:b/>
          <w:bCs/>
          <w:sz w:val="22"/>
          <w:szCs w:val="22"/>
        </w:rPr>
        <w:t xml:space="preserve">Pass 1 — annotation:</w:t>
      </w:r>
      <w:r>
        <w:rPr>
          <w:rFonts w:ascii="Calibri" w:cs="Calibri" w:eastAsia="Calibri" w:hAnsi="Calibri"/>
          <w:sz w:val="22"/>
          <w:szCs w:val="22"/>
        </w:rPr>
        <w:t xml:space="preserve"> the author annotated all 300 postings against these guidelines, working in batches of approximately 30, with the full posting text read in a purpose-built HTML reader.</w:t>
      </w:r>
    </w:p>
    <w:p>
      <w:pPr>
        <w:pStyle w:val="ListParagraph"/>
        <w:numPr>
          <w:ilvl w:val="0"/>
          <w:numId w:val="2"/>
        </w:numPr>
        <w:spacing w:after="80" w:line="276"/>
      </w:pPr>
      <w:r>
        <w:rPr>
          <w:rFonts w:ascii="Calibri" w:cs="Calibri" w:eastAsia="Calibri" w:hAnsi="Calibri"/>
          <w:b/>
          <w:bCs/>
          <w:sz w:val="22"/>
          <w:szCs w:val="22"/>
        </w:rPr>
        <w:t xml:space="preserve">Pass 2 — systematic lexicon audit:</w:t>
      </w:r>
      <w:r>
        <w:rPr>
          <w:rFonts w:ascii="Calibri" w:cs="Calibri" w:eastAsia="Calibri" w:hAnsi="Calibri"/>
          <w:sz w:val="22"/>
          <w:szCs w:val="22"/>
        </w:rPr>
        <w:t xml:space="preserve"> each batch was then audited against the category lexicons. Every posting–category pair where the assigned tag disagreed with the presence or absence of a lexicon term in the posting text was re-examined against the source text and adjudicated under these guidelines. Corrections and the reason for each were recorded in the notes column; 198 of 300 rows carry an audit note.</w:t>
      </w:r>
    </w:p>
    <w:p>
      <w:pPr>
        <w:pStyle w:val="ListParagraph"/>
        <w:numPr>
          <w:ilvl w:val="0"/>
          <w:numId w:val="2"/>
        </w:numPr>
        <w:spacing w:after="80" w:line="276"/>
      </w:pPr>
      <w:r>
        <w:rPr>
          <w:rFonts w:ascii="Calibri" w:cs="Calibri" w:eastAsia="Calibri" w:hAnsi="Calibri"/>
          <w:b/>
          <w:bCs/>
          <w:sz w:val="22"/>
          <w:szCs w:val="22"/>
        </w:rPr>
        <w:t xml:space="preserve">Agreement:</w:t>
      </w:r>
      <w:r>
        <w:rPr>
          <w:rFonts w:ascii="Calibri" w:cs="Calibri" w:eastAsia="Calibri" w:hAnsi="Calibri"/>
          <w:sz w:val="22"/>
          <w:szCs w:val="22"/>
        </w:rPr>
        <w:t xml:space="preserve"> the two passes agreed on approximately 92–96% of skill cells across batches. Disagreements were overwhelmingly recall failures in pass 1 (skills mentioned in the posting but not tagged), concentrated in long postings and multi-tool sentences; a minority were pass-1 over-tags on homonyms, which the boundary rules in Section 3.1 now cover explicitly.</w:t>
      </w:r>
    </w:p>
    <w:p>
      <w:pPr>
        <w:pStyle w:val="ListParagraph"/>
        <w:numPr>
          <w:ilvl w:val="0"/>
          <w:numId w:val="2"/>
        </w:numPr>
        <w:spacing w:after="80" w:line="276"/>
      </w:pPr>
      <w:r>
        <w:rPr>
          <w:rFonts w:ascii="Calibri" w:cs="Calibri" w:eastAsia="Calibri" w:hAnsi="Calibri"/>
          <w:b/>
          <w:bCs/>
          <w:sz w:val="22"/>
          <w:szCs w:val="22"/>
        </w:rPr>
        <w:t xml:space="preserve">Rule accretion:</w:t>
      </w:r>
      <w:r>
        <w:rPr>
          <w:rFonts w:ascii="Calibri" w:cs="Calibri" w:eastAsia="Calibri" w:hAnsi="Calibri"/>
          <w:sz w:val="22"/>
          <w:szCs w:val="22"/>
        </w:rPr>
        <w:t xml:space="preserve"> rules discovered during either pass were added to Section 3.1 and applied retrospectively to all previously annotated postings.</w:t>
      </w:r>
    </w:p>
    <w:p>
      <w:pPr>
        <w:pStyle w:val="ListParagraph"/>
        <w:numPr>
          <w:ilvl w:val="0"/>
          <w:numId w:val="2"/>
        </w:numPr>
        <w:spacing w:after="80" w:line="276"/>
      </w:pPr>
      <w:r>
        <w:rPr>
          <w:rFonts w:ascii="Calibri" w:cs="Calibri" w:eastAsia="Calibri" w:hAnsi="Calibri"/>
          <w:b/>
          <w:bCs/>
          <w:sz w:val="22"/>
          <w:szCs w:val="22"/>
        </w:rPr>
        <w:t xml:space="preserve">Pilot:</w:t>
      </w:r>
      <w:r>
        <w:rPr>
          <w:rFonts w:ascii="Calibri" w:cs="Calibri" w:eastAsia="Calibri" w:hAnsi="Calibri"/>
          <w:sz w:val="22"/>
          <w:szCs w:val="22"/>
        </w:rPr>
        <w:t xml:space="preserve"> a 20-posting pilot was annotated under v1.1 before full annotation; those annotations were discarded and the postings re-annotated under the revised guidelines.</w:t>
      </w:r>
    </w:p>
    <w:p>
      <w:pPr>
        <w:pStyle w:val="Heading1"/>
        <w:spacing w:after="140" w:before="280"/>
      </w:pPr>
      <w:r>
        <w:rPr>
          <w:rFonts w:ascii="Calibri" w:cs="Calibri" w:eastAsia="Calibri" w:hAnsi="Calibri"/>
          <w:b/>
          <w:bCs/>
          <w:color w:val="2F5496"/>
          <w:sz w:val="28"/>
          <w:szCs w:val="28"/>
        </w:rPr>
        <w:t xml:space="preserve">9. Limitations</w:t>
      </w:r>
    </w:p>
    <w:p>
      <w:pPr>
        <w:pStyle w:val="ListParagraph"/>
        <w:numPr>
          <w:ilvl w:val="0"/>
          <w:numId w:val="2"/>
        </w:numPr>
        <w:spacing w:after="80" w:line="276"/>
      </w:pPr>
      <w:r>
        <w:rPr>
          <w:rFonts w:ascii="Calibri" w:cs="Calibri" w:eastAsia="Calibri" w:hAnsi="Calibri"/>
          <w:b/>
          <w:bCs/>
          <w:sz w:val="22"/>
          <w:szCs w:val="22"/>
        </w:rPr>
        <w:t xml:space="preserve">Single annotator:</w:t>
      </w:r>
      <w:r>
        <w:rPr>
          <w:rFonts w:ascii="Calibri" w:cs="Calibri" w:eastAsia="Calibri" w:hAnsi="Calibri"/>
          <w:sz w:val="22"/>
          <w:szCs w:val="22"/>
        </w:rPr>
        <w:t xml:space="preserve"> annotation was performed by a single annotator. This is mitigated by the explicit-mention rule, versioned guidelines, the systematic second-pass audit, and an intra-annotator consistency check (below), but inter-annotator agreement could not be measured.</w:t>
      </w:r>
    </w:p>
    <w:p>
      <w:pPr>
        <w:pStyle w:val="ListParagraph"/>
        <w:numPr>
          <w:ilvl w:val="0"/>
          <w:numId w:val="2"/>
        </w:numPr>
        <w:spacing w:after="80" w:line="276"/>
      </w:pPr>
      <w:r>
        <w:rPr>
          <w:rFonts w:ascii="Calibri" w:cs="Calibri" w:eastAsia="Calibri" w:hAnsi="Calibri"/>
          <w:b/>
          <w:bCs/>
          <w:sz w:val="22"/>
          <w:szCs w:val="22"/>
        </w:rPr>
        <w:t xml:space="preserve">Intra-annotator consistency:</w:t>
      </w:r>
      <w:r>
        <w:rPr>
          <w:rFonts w:ascii="Calibri" w:cs="Calibri" w:eastAsia="Calibri" w:hAnsi="Calibri"/>
          <w:sz w:val="22"/>
          <w:szCs w:val="22"/>
        </w:rPr>
        <w:t xml:space="preserve"> a random sample of 20 postings is re-annotated blind at least two weeks after first annotation; per-category percentage agreement and Cohen’s kappa are reported as an annotation-quality indicator.</w:t>
      </w:r>
    </w:p>
    <w:p>
      <w:pPr>
        <w:pStyle w:val="ListParagraph"/>
        <w:numPr>
          <w:ilvl w:val="0"/>
          <w:numId w:val="2"/>
        </w:numPr>
        <w:spacing w:after="80" w:line="276"/>
      </w:pPr>
      <w:r>
        <w:rPr>
          <w:rFonts w:ascii="Calibri" w:cs="Calibri" w:eastAsia="Calibri" w:hAnsi="Calibri"/>
          <w:b/>
          <w:bCs/>
          <w:sz w:val="22"/>
          <w:szCs w:val="22"/>
        </w:rPr>
        <w:t xml:space="preserve">Lexicon-literal treatment:</w:t>
      </w:r>
      <w:r>
        <w:rPr>
          <w:rFonts w:ascii="Calibri" w:cs="Calibri" w:eastAsia="Calibri" w:hAnsi="Calibri"/>
          <w:sz w:val="22"/>
          <w:szCs w:val="22"/>
        </w:rPr>
        <w:t xml:space="preserve"> the lexicon-literal principle means domain-shifted uses of a lexicon term (financial forecasting tagged as statistics) are counted as skill mentions. This is deliberate, for parity with the automated methods, but it inflates certain categories in finance-heavy role families.</w:t>
      </w:r>
    </w:p>
    <w:p>
      <w:pPr>
        <w:pStyle w:val="ListParagraph"/>
        <w:numPr>
          <w:ilvl w:val="0"/>
          <w:numId w:val="2"/>
        </w:numPr>
        <w:spacing w:after="80" w:line="276"/>
      </w:pPr>
      <w:r>
        <w:rPr>
          <w:rFonts w:ascii="Calibri" w:cs="Calibri" w:eastAsia="Calibri" w:hAnsi="Calibri"/>
          <w:b/>
          <w:bCs/>
          <w:sz w:val="22"/>
          <w:szCs w:val="22"/>
        </w:rPr>
        <w:t xml:space="preserve">Source-data mismatches:</w:t>
      </w:r>
      <w:r>
        <w:rPr>
          <w:rFonts w:ascii="Calibri" w:cs="Calibri" w:eastAsia="Calibri" w:hAnsi="Calibri"/>
          <w:sz w:val="22"/>
          <w:szCs w:val="22"/>
        </w:rPr>
        <w:t xml:space="preserve"> title-based filtering of scraped data admits occasional records whose title and description describe different roles. One such case was identified in the gold standard (P253: titled “Senior Data Analyst”, body advertising a Brand Marketing Manager); six postings corpus-wide never mention analyst, analytics, analysis or data in the body.</w:t>
      </w:r>
    </w:p>
    <w:p>
      <w:pPr>
        <w:pStyle w:val="ListParagraph"/>
        <w:numPr>
          <w:ilvl w:val="0"/>
          <w:numId w:val="2"/>
        </w:numPr>
        <w:spacing w:after="80" w:line="276"/>
      </w:pPr>
      <w:r>
        <w:rPr>
          <w:rFonts w:ascii="Calibri" w:cs="Calibri" w:eastAsia="Calibri" w:hAnsi="Calibri"/>
          <w:b/>
          <w:bCs/>
          <w:sz w:val="22"/>
          <w:szCs w:val="22"/>
        </w:rPr>
        <w:t xml:space="preserve">Small families:</w:t>
      </w:r>
      <w:r>
        <w:rPr>
          <w:rFonts w:ascii="Calibri" w:cs="Calibri" w:eastAsia="Calibri" w:hAnsi="Calibri"/>
          <w:sz w:val="22"/>
          <w:szCs w:val="22"/>
        </w:rPr>
        <w:t xml:space="preserve"> analytics engineering (3 postings) and marketing analyst (7) are too thinly represented in the gold standard for reliable per-family evaluation; findings for these families are indicative only.</w:t>
      </w:r>
    </w:p>
    <w:p>
      <w:pPr>
        <w:pStyle w:val="ListParagraph"/>
        <w:numPr>
          <w:ilvl w:val="0"/>
          <w:numId w:val="2"/>
        </w:numPr>
        <w:spacing w:after="80" w:line="276"/>
      </w:pPr>
      <w:r>
        <w:rPr>
          <w:rFonts w:ascii="Calibri" w:cs="Calibri" w:eastAsia="Calibri" w:hAnsi="Calibri"/>
          <w:b/>
          <w:bCs/>
          <w:sz w:val="22"/>
          <w:szCs w:val="22"/>
        </w:rPr>
        <w:t xml:space="preserve">Class imbalance:</w:t>
      </w:r>
      <w:r>
        <w:rPr>
          <w:rFonts w:ascii="Calibri" w:cs="Calibri" w:eastAsia="Calibri" w:hAnsi="Calibri"/>
          <w:sz w:val="22"/>
          <w:szCs w:val="22"/>
        </w:rPr>
        <w:t xml:space="preserve"> stakeholder communication (81%) and reporting (56%) are near-ubiquitous and therefore weakly discriminative; ethics/governance (13 postings) is the thinnest positive class and its per-category F1 should be interpreted with caution.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2026-08-06T15:38:12.096Z</dcterms:created>
  <dcterms:modified xsi:type="dcterms:W3CDTF">2026-08-06T15:38:12.096Z</dcterms:modified>
</cp:coreProperties>
</file>

<file path=docProps/custom.xml><?xml version="1.0" encoding="utf-8"?>
<Properties xmlns="http://schemas.openxmlformats.org/officeDocument/2006/custom-properties" xmlns:vt="http://schemas.openxmlformats.org/officeDocument/2006/docPropsVTypes"/>
</file>