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35F" w:rsidRDefault="0097135F" w:rsidP="0097135F">
      <w:pPr>
        <w:spacing w:after="0" w:line="240" w:lineRule="auto"/>
        <w:ind w:left="46" w:firstLine="0"/>
        <w:jc w:val="center"/>
        <w:rPr>
          <w:b/>
          <w:sz w:val="28"/>
        </w:rPr>
      </w:pPr>
      <w:proofErr w:type="spellStart"/>
      <w:r>
        <w:rPr>
          <w:b/>
          <w:sz w:val="28"/>
        </w:rPr>
        <w:t>FinTech</w:t>
      </w:r>
      <w:proofErr w:type="spellEnd"/>
      <w:r>
        <w:rPr>
          <w:b/>
          <w:sz w:val="28"/>
        </w:rPr>
        <w:t xml:space="preserve"> Data Curation: Features and Justification</w:t>
      </w:r>
    </w:p>
    <w:p w:rsidR="0097135F" w:rsidRDefault="0097135F" w:rsidP="0097135F">
      <w:pPr>
        <w:spacing w:after="0" w:line="240" w:lineRule="auto"/>
        <w:ind w:left="46" w:firstLine="0"/>
        <w:jc w:val="center"/>
        <w:rPr>
          <w:b/>
          <w:sz w:val="28"/>
        </w:rPr>
      </w:pPr>
      <w:r>
        <w:rPr>
          <w:b/>
          <w:sz w:val="28"/>
        </w:rPr>
        <w:t xml:space="preserve">NLP Assignment – 1 Abdullah </w:t>
      </w:r>
      <w:proofErr w:type="spellStart"/>
      <w:r>
        <w:rPr>
          <w:b/>
          <w:sz w:val="28"/>
        </w:rPr>
        <w:t>Daoud</w:t>
      </w:r>
      <w:proofErr w:type="spellEnd"/>
      <w:r>
        <w:rPr>
          <w:b/>
          <w:sz w:val="28"/>
        </w:rPr>
        <w:t xml:space="preserve"> (22I-2626) SE-A</w:t>
      </w:r>
    </w:p>
    <w:p w:rsidR="0097135F" w:rsidRPr="0097135F" w:rsidRDefault="0097135F" w:rsidP="0097135F">
      <w:pPr>
        <w:spacing w:after="0" w:line="240" w:lineRule="auto"/>
        <w:ind w:left="46" w:firstLine="0"/>
        <w:jc w:val="center"/>
        <w:rPr>
          <w:b/>
          <w:sz w:val="28"/>
        </w:rPr>
      </w:pPr>
      <w:bookmarkStart w:id="0" w:name="_GoBack"/>
      <w:bookmarkEnd w:id="0"/>
    </w:p>
    <w:p w:rsidR="00FC1C43" w:rsidRDefault="0097135F" w:rsidP="0097135F">
      <w:pPr>
        <w:spacing w:after="152" w:line="240" w:lineRule="auto"/>
        <w:ind w:left="-5"/>
      </w:pPr>
      <w:r>
        <w:rPr>
          <w:b/>
          <w:sz w:val="24"/>
        </w:rPr>
        <w:t>Why these features?</w:t>
      </w:r>
    </w:p>
    <w:p w:rsidR="00FC1C43" w:rsidRDefault="0097135F" w:rsidP="0097135F">
      <w:pPr>
        <w:spacing w:after="169" w:line="240" w:lineRule="auto"/>
        <w:ind w:left="-5"/>
      </w:pPr>
      <w:r>
        <w:rPr>
          <w:b/>
        </w:rPr>
        <w:t>Structured (market-derived)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r>
        <w:rPr>
          <w:b/>
        </w:rPr>
        <w:t xml:space="preserve">OHLCV (Open, High, Low, Close, </w:t>
      </w:r>
      <w:proofErr w:type="gramStart"/>
      <w:r>
        <w:rPr>
          <w:b/>
        </w:rPr>
        <w:t>Volume</w:t>
      </w:r>
      <w:proofErr w:type="gramEnd"/>
      <w:r>
        <w:rPr>
          <w:b/>
        </w:rPr>
        <w:t>):</w:t>
      </w:r>
      <w:r>
        <w:t xml:space="preserve"> Captures trading range, closing pressure, and liquidity. Basis for indicators and interpretability.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r>
        <w:rPr>
          <w:b/>
        </w:rPr>
        <w:t>Daily Return:</w:t>
      </w:r>
      <w:r>
        <w:t xml:space="preserve"> First-order price change; canonical target proxy for short-horizon models.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r>
        <w:rPr>
          <w:b/>
        </w:rPr>
        <w:t xml:space="preserve">Volatility (20-day rolling </w:t>
      </w:r>
      <w:proofErr w:type="spellStart"/>
      <w:proofErr w:type="gramStart"/>
      <w:r>
        <w:rPr>
          <w:b/>
        </w:rPr>
        <w:t>std</w:t>
      </w:r>
      <w:proofErr w:type="spellEnd"/>
      <w:proofErr w:type="gramEnd"/>
      <w:r>
        <w:rPr>
          <w:b/>
        </w:rPr>
        <w:t xml:space="preserve"> of returns):</w:t>
      </w:r>
      <w:r>
        <w:t xml:space="preserve"> Encodes risk regime; volatility clustering aids calibration.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r>
        <w:rPr>
          <w:b/>
        </w:rPr>
        <w:t>SMA_5 and SMA_20:</w:t>
      </w:r>
      <w:r>
        <w:t xml:space="preserve"> Short- and medium-horizon trend filters sum</w:t>
      </w:r>
      <w:r>
        <w:t>marizing momentum vs. mean-reversion.</w:t>
      </w:r>
    </w:p>
    <w:p w:rsidR="00FC1C43" w:rsidRDefault="0097135F" w:rsidP="0097135F">
      <w:pPr>
        <w:numPr>
          <w:ilvl w:val="0"/>
          <w:numId w:val="1"/>
        </w:numPr>
        <w:spacing w:after="66" w:line="240" w:lineRule="auto"/>
        <w:ind w:hanging="660"/>
      </w:pPr>
      <w:r>
        <w:rPr>
          <w:b/>
        </w:rPr>
        <w:t>RSI_14:</w:t>
      </w:r>
      <w:r>
        <w:t xml:space="preserve"> Bounded momentum oscillator to identify exhaustion/overbought-oversold conditions.</w:t>
      </w:r>
    </w:p>
    <w:p w:rsidR="00FC1C43" w:rsidRDefault="0097135F" w:rsidP="0097135F">
      <w:pPr>
        <w:spacing w:after="169" w:line="240" w:lineRule="auto"/>
        <w:ind w:left="-5"/>
      </w:pPr>
      <w:r>
        <w:rPr>
          <w:b/>
        </w:rPr>
        <w:t>Unstructured (news-derived)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r>
        <w:rPr>
          <w:b/>
        </w:rPr>
        <w:t>Daily news headlines list</w:t>
      </w:r>
      <w:r>
        <w:t xml:space="preserve"> from Yahoo Finance, Google News RSS, and </w:t>
      </w:r>
      <w:proofErr w:type="spellStart"/>
      <w:r>
        <w:t>CoinDesk</w:t>
      </w:r>
      <w:proofErr w:type="spellEnd"/>
      <w:r>
        <w:t>: Captures exogenous sig</w:t>
      </w:r>
      <w:r>
        <w:t>nals (earnings, regulation, macro surprises).</w:t>
      </w:r>
    </w:p>
    <w:p w:rsidR="0097135F" w:rsidRDefault="0097135F" w:rsidP="0097135F">
      <w:pPr>
        <w:numPr>
          <w:ilvl w:val="0"/>
          <w:numId w:val="1"/>
        </w:numPr>
        <w:spacing w:after="538" w:line="240" w:lineRule="auto"/>
        <w:ind w:hanging="660"/>
      </w:pPr>
      <w:r>
        <w:rPr>
          <w:b/>
        </w:rPr>
        <w:t>Lightweight sentiment score (keyword-based):</w:t>
      </w:r>
      <w:r>
        <w:t xml:space="preserve"> Transparent, fast polarity proxy resilient to scraping variability</w:t>
      </w:r>
      <w:r>
        <w:t>.</w:t>
      </w:r>
    </w:p>
    <w:p w:rsidR="0097135F" w:rsidRDefault="0097135F" w:rsidP="0097135F">
      <w:pPr>
        <w:spacing w:after="538" w:line="240" w:lineRule="auto"/>
      </w:pPr>
      <w:r>
        <w:t>These choices are intentionally minimal and orthogonal: price level/range (OHLC), participation (Volume), direction (Return), regime (Volatility), trend/momentum (SMA, RSI), and exogenous shocks (Headlines + Sentiment). They avoid redundancy while covering the principal drivers of short-horizon dynamics.</w:t>
      </w:r>
    </w:p>
    <w:p w:rsidR="00FC1C43" w:rsidRDefault="0097135F" w:rsidP="0097135F">
      <w:pPr>
        <w:spacing w:after="187" w:line="240" w:lineRule="auto"/>
        <w:ind w:left="-5"/>
      </w:pPr>
      <w:r>
        <w:rPr>
          <w:b/>
          <w:sz w:val="24"/>
        </w:rPr>
        <w:t>Why this minimal set is sufficient for next-day prediction?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r>
        <w:t>Momentum and trend persistence encode</w:t>
      </w:r>
      <w:r>
        <w:t>d via SMAs and RSI.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r>
        <w:t>Volatility clustering stabilizes forecasts and improves calibration.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r>
        <w:t>Liquidity and attention captured via Volume and Returns.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r>
        <w:t>Event sensitivity through headlines and sentiment signals.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r>
        <w:t>Parsimony and robustness: fewer, interpretable feat</w:t>
      </w:r>
      <w:r>
        <w:t>ures generalize better.</w:t>
      </w:r>
    </w:p>
    <w:p w:rsidR="00FC1C43" w:rsidRDefault="0097135F" w:rsidP="0097135F">
      <w:pPr>
        <w:numPr>
          <w:ilvl w:val="0"/>
          <w:numId w:val="1"/>
        </w:numPr>
        <w:spacing w:after="531" w:line="240" w:lineRule="auto"/>
        <w:ind w:hanging="660"/>
      </w:pPr>
      <w:r>
        <w:t>Operational fit: Features sourced from live web APIs and RSS feeds with retries and normalization.</w:t>
      </w:r>
    </w:p>
    <w:p w:rsidR="00FC1C43" w:rsidRDefault="0097135F" w:rsidP="0097135F">
      <w:pPr>
        <w:spacing w:after="187" w:line="240" w:lineRule="auto"/>
        <w:ind w:left="-5"/>
      </w:pPr>
      <w:r>
        <w:rPr>
          <w:b/>
          <w:sz w:val="24"/>
        </w:rPr>
        <w:t>References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proofErr w:type="spellStart"/>
      <w:r>
        <w:t>Jegadeesh</w:t>
      </w:r>
      <w:proofErr w:type="spellEnd"/>
      <w:r>
        <w:t xml:space="preserve"> &amp; Titman (1993). Returns to Buying Winners and Selling Losers.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r>
        <w:t xml:space="preserve">Brock, </w:t>
      </w:r>
      <w:proofErr w:type="spellStart"/>
      <w:r>
        <w:t>Lakonishok</w:t>
      </w:r>
      <w:proofErr w:type="spellEnd"/>
      <w:r>
        <w:t xml:space="preserve"> &amp; </w:t>
      </w:r>
      <w:proofErr w:type="spellStart"/>
      <w:r>
        <w:t>LeBaron</w:t>
      </w:r>
      <w:proofErr w:type="spellEnd"/>
      <w:r>
        <w:t xml:space="preserve"> (1992). Simple Technical Trading Rules. 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r>
        <w:t>Wilder (1978). New Concepts in Technical Trading Systems (RSI).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r>
        <w:t xml:space="preserve">Engle (1982); </w:t>
      </w:r>
      <w:proofErr w:type="spellStart"/>
      <w:r>
        <w:t>Bollerslev</w:t>
      </w:r>
      <w:proofErr w:type="spellEnd"/>
      <w:r>
        <w:t xml:space="preserve"> (1986). ARCH/GARCH models (Volatility).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proofErr w:type="spellStart"/>
      <w:r>
        <w:t>Antwe</w:t>
      </w:r>
      <w:r>
        <w:t>iler</w:t>
      </w:r>
      <w:proofErr w:type="spellEnd"/>
      <w:r>
        <w:t xml:space="preserve"> &amp; Frank (2004). Is All That Talk Just Noise? 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r>
        <w:t>Financial Innovation (2022). Evidence on combined technical + sentiment features.</w:t>
      </w:r>
    </w:p>
    <w:p w:rsidR="00FC1C43" w:rsidRDefault="0097135F" w:rsidP="0097135F">
      <w:pPr>
        <w:numPr>
          <w:ilvl w:val="0"/>
          <w:numId w:val="1"/>
        </w:numPr>
        <w:spacing w:line="240" w:lineRule="auto"/>
        <w:ind w:hanging="660"/>
      </w:pPr>
      <w:r>
        <w:t xml:space="preserve">Data: Yahoo Finance API, </w:t>
      </w:r>
      <w:proofErr w:type="spellStart"/>
      <w:r>
        <w:t>yfinance</w:t>
      </w:r>
      <w:proofErr w:type="spellEnd"/>
      <w:r>
        <w:t xml:space="preserve">, Yahoo/Google News RSS, </w:t>
      </w:r>
      <w:proofErr w:type="spellStart"/>
      <w:r>
        <w:t>CoinDesk</w:t>
      </w:r>
      <w:proofErr w:type="spellEnd"/>
      <w:r>
        <w:t xml:space="preserve"> RSS.</w:t>
      </w:r>
    </w:p>
    <w:sectPr w:rsidR="00FC1C43">
      <w:pgSz w:w="11906" w:h="16838"/>
      <w:pgMar w:top="1440" w:right="966" w:bottom="144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A12E0"/>
    <w:multiLevelType w:val="hybridMultilevel"/>
    <w:tmpl w:val="9D1E2AF8"/>
    <w:lvl w:ilvl="0" w:tplc="F59C2224">
      <w:start w:val="1"/>
      <w:numFmt w:val="bullet"/>
      <w:lvlText w:val="•"/>
      <w:lvlJc w:val="left"/>
      <w:pPr>
        <w:ind w:left="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0048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E2C16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4007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7C27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E8841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1858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F8B2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98E5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43"/>
    <w:rsid w:val="0097135F"/>
    <w:rsid w:val="00FC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B7E55"/>
  <w15:docId w15:val="{2A907098-D5F1-4F48-950D-604F4B32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7" w:line="265" w:lineRule="auto"/>
      <w:ind w:left="10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1955</Characters>
  <Application>Microsoft Office Word</Application>
  <DocSecurity>0</DocSecurity>
  <Lines>33</Lines>
  <Paragraphs>31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Abdullah</cp:lastModifiedBy>
  <cp:revision>2</cp:revision>
  <dcterms:created xsi:type="dcterms:W3CDTF">2025-09-17T17:03:00Z</dcterms:created>
  <dcterms:modified xsi:type="dcterms:W3CDTF">2025-09-17T17:03:00Z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69d92cd6-f36e-4b64-8dc2-a2c3d45c209b</vt:lpwstr>
  </property>
</Properties>
</file>