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Space Grotesk" w:hAnsi="Space Grotesk"/>
          <w:color w:val="1A1A2E"/>
          <w:sz w:val="56"/>
        </w:rPr>
        <w:t>Identity Kit</w:t>
      </w:r>
    </w:p>
    <w:p/>
    <w:p>
      <w:pPr>
        <w:pStyle w:val="Heading1"/>
      </w:pPr>
      <w:r>
        <w:rPr>
          <w:rFonts w:ascii="Space Grotesk" w:hAnsi="Space Grotesk"/>
          <w:color w:val="1A1A2E"/>
          <w:sz w:val="32"/>
        </w:rPr>
        <w:t>Fonts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Font</w:t>
            </w:r>
          </w:p>
        </w:tc>
      </w:tr>
      <w:tr>
        <w:tc>
          <w:tcPr>
            <w:tcW w:type="dxa" w:w="4320"/>
          </w:tcPr>
          <w:p>
            <w:r>
              <w:t>Heading</w:t>
            </w:r>
          </w:p>
        </w:tc>
        <w:tc>
          <w:tcPr>
            <w:tcW w:type="dxa" w:w="4320"/>
          </w:tcPr>
          <w:p>
            <w:r>
              <w:t>Space Grotesk</w:t>
            </w:r>
          </w:p>
        </w:tc>
      </w:tr>
      <w:tr>
        <w:tc>
          <w:tcPr>
            <w:tcW w:type="dxa" w:w="4320"/>
          </w:tcPr>
          <w:p>
            <w:r>
              <w:t>Body</w:t>
            </w:r>
          </w:p>
        </w:tc>
        <w:tc>
          <w:tcPr>
            <w:tcW w:type="dxa" w:w="4320"/>
          </w:tcPr>
          <w:p>
            <w:r>
              <w:t>Inter</w:t>
            </w:r>
          </w:p>
        </w:tc>
      </w:tr>
    </w:tbl>
    <w:p/>
    <w:p>
      <w:pPr>
        <w:pStyle w:val="Heading1"/>
      </w:pPr>
      <w:r>
        <w:rPr>
          <w:rFonts w:ascii="Space Grotesk" w:hAnsi="Space Grotesk"/>
          <w:color w:val="1A1A2E"/>
          <w:sz w:val="32"/>
        </w:rPr>
        <w:t>Palette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Swatch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Hex</w:t>
            </w:r>
          </w:p>
        </w:tc>
      </w:tr>
      <w:tr>
        <w:tc>
          <w:tcPr>
            <w:tcW w:type="dxa" w:w="2880"/>
          </w:tcPr>
          <w:p>
            <w:r>
              <w:t>#F8F9FA</w:t>
            </w:r>
          </w:p>
        </w:tc>
        <w:tc>
          <w:tcPr>
            <w:tcW w:type="dxa" w:w="2880"/>
          </w:tcPr>
          <w:p>
            <w:r>
              <w:t>Main / Background</w:t>
            </w:r>
          </w:p>
        </w:tc>
        <w:tc>
          <w:tcPr>
            <w:tcW w:type="dxa" w:w="2880"/>
          </w:tcPr>
          <w:p>
            <w:r>
              <w:t>near-white background</w:t>
            </w:r>
          </w:p>
        </w:tc>
      </w:tr>
      <w:tr>
        <w:tc>
          <w:tcPr>
            <w:tcW w:type="dxa" w:w="2880"/>
          </w:tcPr>
          <w:p>
            <w:r>
              <w:t>#1A1A2E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near-black, high contrast</w:t>
            </w:r>
          </w:p>
        </w:tc>
      </w:tr>
      <w:tr>
        <w:tc>
          <w:tcPr>
            <w:tcW w:type="dxa" w:w="2880"/>
          </w:tcPr>
          <w:p>
            <w:r>
              <w:t>#2563EB</w:t>
            </w:r>
          </w:p>
        </w:tc>
        <w:tc>
          <w:tcPr>
            <w:tcW w:type="dxa" w:w="2880"/>
          </w:tcPr>
          <w:p>
            <w:r>
              <w:t>Accent</w:t>
            </w:r>
          </w:p>
        </w:tc>
        <w:tc>
          <w:tcPr>
            <w:tcW w:type="dxa" w:w="2880"/>
          </w:tcPr>
          <w:p>
            <w:r>
              <w:t>calm blue, signals trust and clarity</w:t>
            </w:r>
          </w:p>
        </w:tc>
      </w:tr>
      <w:tr>
        <w:tc>
          <w:tcPr>
            <w:tcW w:type="dxa" w:w="2880"/>
          </w:tcPr>
          <w:p>
            <w:r>
              <w:t>#6B7280</w:t>
            </w:r>
          </w:p>
        </w:tc>
        <w:tc>
          <w:tcPr>
            <w:tcW w:type="dxa" w:w="2880"/>
          </w:tcPr>
          <w:p>
            <w:r>
              <w:t>Muted</w:t>
            </w:r>
          </w:p>
        </w:tc>
        <w:tc>
          <w:tcPr>
            <w:tcW w:type="dxa" w:w="2880"/>
          </w:tcPr>
          <w:p>
            <w:r>
              <w:t>secondary text, borders, captions</w:t>
            </w:r>
          </w:p>
        </w:tc>
      </w:tr>
    </w:tbl>
    <w:p/>
    <w:p>
      <w:pPr>
        <w:pStyle w:val="Heading1"/>
      </w:pPr>
      <w:r>
        <w:rPr>
          <w:rFonts w:ascii="Space Grotesk" w:hAnsi="Space Grotesk"/>
          <w:color w:val="1A1A2E"/>
          <w:sz w:val="32"/>
        </w:rPr>
        <w:t>Logo / Favicon</w:t>
      </w:r>
    </w:p>
    <w:p>
      <w:r>
        <w:rPr>
          <w:rFonts w:ascii="Space Grotesk" w:hAnsi="Space Grotesk"/>
          <w:b/>
          <w:color w:val="2563EB"/>
          <w:sz w:val="72"/>
        </w:rPr>
        <w:t>AS</w:t>
      </w:r>
    </w:p>
    <w:p>
      <w:r>
        <w:t>Monogram: initials "AS" set in Space Grotesk, accent blue on near-white. Works as a favicon at 32x32 and as a header mark.</w:t>
      </w:r>
    </w:p>
    <w:p/>
    <w:p>
      <w:pPr>
        <w:pStyle w:val="Heading1"/>
      </w:pPr>
      <w:r>
        <w:rPr>
          <w:rFonts w:ascii="Space Grotesk" w:hAnsi="Space Grotesk"/>
          <w:color w:val="1A1A2E"/>
          <w:sz w:val="32"/>
        </w:rPr>
        <w:t>Style Note</w:t>
      </w:r>
    </w:p>
    <w:p>
      <w:r>
        <w:rPr>
          <w:i/>
        </w:rPr>
        <w:t>Mood: clean, minimal, technical without being cold. Space Grotesk headings feel structured; Inter body text stays readable. The blue accent draws the eye to key actions without competing with the work itself.</w:t>
      </w:r>
    </w:p>
    <w:p/>
    <w:p>
      <w:r>
        <w:rPr>
          <w:b/>
        </w:rPr>
        <w:t>Logo preview:</w:t>
      </w:r>
    </w:p>
    <w:p>
      <w:r>
        <w:drawing>
          <wp:inline xmlns:a="http://schemas.openxmlformats.org/drawingml/2006/main" xmlns:pic="http://schemas.openxmlformats.org/drawingml/2006/picture">
            <wp:extent cx="1371600" cy="13595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5954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