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EFFB9" w14:textId="77777777" w:rsidR="00534BA8" w:rsidRPr="00526645" w:rsidRDefault="00534BA8" w:rsidP="00D7097D">
      <w:pPr>
        <w:ind w:left="0" w:firstLine="0"/>
        <w:jc w:val="center"/>
        <w:rPr>
          <w:b/>
          <w:bCs/>
          <w:sz w:val="40"/>
          <w:szCs w:val="40"/>
        </w:rPr>
      </w:pPr>
      <w:r w:rsidRPr="00526645">
        <w:rPr>
          <w:b/>
          <w:bCs/>
          <w:sz w:val="40"/>
          <w:szCs w:val="40"/>
        </w:rPr>
        <w:t>KHULNA UNIVERSITY OF ENGINEERING &amp;</w:t>
      </w:r>
      <w:r>
        <w:rPr>
          <w:b/>
          <w:bCs/>
          <w:sz w:val="40"/>
          <w:szCs w:val="40"/>
        </w:rPr>
        <w:t xml:space="preserve"> </w:t>
      </w:r>
      <w:r w:rsidRPr="00526645">
        <w:rPr>
          <w:b/>
          <w:bCs/>
          <w:sz w:val="40"/>
          <w:szCs w:val="40"/>
        </w:rPr>
        <w:t>TECHNOLOGY (KUET)</w:t>
      </w:r>
    </w:p>
    <w:p w14:paraId="58153811" w14:textId="77777777" w:rsidR="00534BA8" w:rsidRDefault="00534BA8" w:rsidP="00D7097D">
      <w:pPr>
        <w:ind w:left="0" w:firstLine="0"/>
        <w:jc w:val="center"/>
      </w:pPr>
      <w:r>
        <w:rPr>
          <w:noProof/>
        </w:rPr>
        <w:drawing>
          <wp:inline distT="0" distB="0" distL="0" distR="0" wp14:anchorId="68B493D4" wp14:editId="6B9B41FB">
            <wp:extent cx="1009402" cy="1145498"/>
            <wp:effectExtent l="0" t="0" r="635" b="0"/>
            <wp:docPr id="1192850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009402" cy="1145498"/>
                    </a:xfrm>
                    <a:prstGeom prst="rect">
                      <a:avLst/>
                    </a:prstGeom>
                    <a:noFill/>
                    <a:ln>
                      <a:noFill/>
                    </a:ln>
                  </pic:spPr>
                </pic:pic>
              </a:graphicData>
            </a:graphic>
          </wp:inline>
        </w:drawing>
      </w:r>
    </w:p>
    <w:p w14:paraId="4114D88A" w14:textId="77777777" w:rsidR="00534BA8" w:rsidRDefault="00534BA8" w:rsidP="00D7097D">
      <w:pPr>
        <w:jc w:val="center"/>
        <w:rPr>
          <w:b/>
          <w:bCs/>
          <w:sz w:val="28"/>
          <w:szCs w:val="28"/>
        </w:rPr>
      </w:pPr>
      <w:r w:rsidRPr="00526645">
        <w:rPr>
          <w:b/>
          <w:bCs/>
          <w:sz w:val="28"/>
          <w:szCs w:val="28"/>
        </w:rPr>
        <w:t>Institute of Information and Communication Technology (IICT)</w:t>
      </w:r>
    </w:p>
    <w:p w14:paraId="57C40358" w14:textId="77777777" w:rsidR="00534BA8" w:rsidRDefault="00534BA8" w:rsidP="00D7097D">
      <w:pPr>
        <w:jc w:val="center"/>
        <w:rPr>
          <w:b/>
          <w:bCs/>
          <w:sz w:val="28"/>
          <w:szCs w:val="28"/>
        </w:rPr>
      </w:pPr>
      <w:r>
        <w:rPr>
          <w:sz w:val="32"/>
        </w:rPr>
        <w:t xml:space="preserve">Course Code: </w:t>
      </w:r>
      <w:r w:rsidRPr="007957B5">
        <w:rPr>
          <w:sz w:val="32"/>
        </w:rPr>
        <w:t>ICT</w:t>
      </w:r>
      <w:r>
        <w:rPr>
          <w:sz w:val="32"/>
        </w:rPr>
        <w:t>-</w:t>
      </w:r>
      <w:r w:rsidRPr="007957B5">
        <w:rPr>
          <w:sz w:val="32"/>
        </w:rPr>
        <w:t>6513</w:t>
      </w:r>
    </w:p>
    <w:p w14:paraId="15C11F50" w14:textId="77777777" w:rsidR="00534BA8" w:rsidRDefault="00534BA8" w:rsidP="00D7097D">
      <w:pPr>
        <w:jc w:val="center"/>
        <w:rPr>
          <w:b/>
          <w:bCs/>
          <w:sz w:val="28"/>
          <w:szCs w:val="28"/>
        </w:rPr>
      </w:pPr>
      <w:r>
        <w:rPr>
          <w:sz w:val="32"/>
        </w:rPr>
        <w:t xml:space="preserve">Course Title: </w:t>
      </w:r>
      <w:r w:rsidRPr="007957B5">
        <w:rPr>
          <w:sz w:val="32"/>
        </w:rPr>
        <w:t>Artificial Intelligence in Healthcare</w:t>
      </w:r>
    </w:p>
    <w:p w14:paraId="2CDAF976" w14:textId="77777777" w:rsidR="00534BA8" w:rsidRDefault="00534BA8" w:rsidP="00D7097D">
      <w:pPr>
        <w:jc w:val="center"/>
        <w:rPr>
          <w:b/>
          <w:bCs/>
          <w:sz w:val="28"/>
          <w:szCs w:val="28"/>
        </w:rPr>
      </w:pPr>
      <w:r w:rsidRPr="007957B5">
        <w:rPr>
          <w:b/>
          <w:sz w:val="28"/>
        </w:rPr>
        <w:t>TERM PAPER</w:t>
      </w:r>
      <w:r>
        <w:rPr>
          <w:b/>
          <w:sz w:val="28"/>
        </w:rPr>
        <w:t xml:space="preserve"> ON</w:t>
      </w:r>
    </w:p>
    <w:p w14:paraId="67A0DC96" w14:textId="16B7CED7" w:rsidR="00534BA8" w:rsidRPr="00D7097D" w:rsidRDefault="00D7097D" w:rsidP="00D7097D">
      <w:pPr>
        <w:jc w:val="center"/>
        <w:rPr>
          <w:b/>
          <w:bCs/>
          <w:sz w:val="28"/>
        </w:rPr>
      </w:pPr>
      <w:r w:rsidRPr="00D7097D">
        <w:rPr>
          <w:b/>
          <w:bCs/>
          <w:sz w:val="28"/>
        </w:rPr>
        <w:t>Federated Learning with Explainable AI (XAI) for Privacy-Preserving</w:t>
      </w:r>
      <w:r>
        <w:rPr>
          <w:b/>
          <w:bCs/>
          <w:sz w:val="28"/>
        </w:rPr>
        <w:t xml:space="preserve"> </w:t>
      </w:r>
      <w:r w:rsidRPr="00D7097D">
        <w:rPr>
          <w:b/>
          <w:bCs/>
          <w:sz w:val="28"/>
        </w:rPr>
        <w:t>Disease Detection: A Comparative Analysis</w:t>
      </w:r>
    </w:p>
    <w:p w14:paraId="213B5397" w14:textId="77777777" w:rsidR="00534BA8" w:rsidRDefault="00534BA8" w:rsidP="00D7097D">
      <w:pPr>
        <w:spacing w:after="39" w:line="259" w:lineRule="auto"/>
        <w:ind w:left="0" w:right="720" w:firstLine="0"/>
        <w:jc w:val="center"/>
      </w:pPr>
    </w:p>
    <w:tbl>
      <w:tblPr>
        <w:tblStyle w:val="TableGrid"/>
        <w:tblW w:w="935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right w:w="115" w:type="dxa"/>
        </w:tblCellMar>
        <w:tblLook w:val="04A0" w:firstRow="1" w:lastRow="0" w:firstColumn="1" w:lastColumn="0" w:noHBand="0" w:noVBand="1"/>
      </w:tblPr>
      <w:tblGrid>
        <w:gridCol w:w="4315"/>
        <w:gridCol w:w="5037"/>
      </w:tblGrid>
      <w:tr w:rsidR="00534BA8" w14:paraId="18436986" w14:textId="77777777" w:rsidTr="006C1C84">
        <w:trPr>
          <w:trHeight w:val="454"/>
        </w:trPr>
        <w:tc>
          <w:tcPr>
            <w:tcW w:w="4315" w:type="dxa"/>
          </w:tcPr>
          <w:p w14:paraId="7C028D50" w14:textId="77777777" w:rsidR="00534BA8" w:rsidRDefault="00534BA8" w:rsidP="00D7097D">
            <w:pPr>
              <w:spacing w:after="0" w:line="259" w:lineRule="auto"/>
              <w:ind w:left="0" w:right="6" w:firstLine="0"/>
              <w:jc w:val="center"/>
            </w:pPr>
            <w:r>
              <w:rPr>
                <w:b/>
                <w:sz w:val="26"/>
              </w:rPr>
              <w:t>Submitted By</w:t>
            </w:r>
          </w:p>
        </w:tc>
        <w:tc>
          <w:tcPr>
            <w:tcW w:w="5037" w:type="dxa"/>
          </w:tcPr>
          <w:p w14:paraId="08F41E84" w14:textId="77777777" w:rsidR="00534BA8" w:rsidRDefault="00534BA8" w:rsidP="00D7097D">
            <w:pPr>
              <w:spacing w:after="0" w:line="259" w:lineRule="auto"/>
              <w:ind w:left="0" w:right="5" w:firstLine="0"/>
              <w:jc w:val="center"/>
            </w:pPr>
            <w:r>
              <w:rPr>
                <w:b/>
                <w:sz w:val="26"/>
              </w:rPr>
              <w:t>Submitted To</w:t>
            </w:r>
          </w:p>
        </w:tc>
      </w:tr>
      <w:tr w:rsidR="00534BA8" w14:paraId="1B96C78E" w14:textId="77777777" w:rsidTr="006C1C84">
        <w:trPr>
          <w:trHeight w:val="2247"/>
        </w:trPr>
        <w:tc>
          <w:tcPr>
            <w:tcW w:w="4315" w:type="dxa"/>
          </w:tcPr>
          <w:p w14:paraId="6D33FCAA" w14:textId="77777777" w:rsidR="00534BA8" w:rsidRDefault="00534BA8" w:rsidP="00D7097D">
            <w:pPr>
              <w:spacing w:after="124" w:line="259" w:lineRule="auto"/>
              <w:ind w:left="0" w:right="6" w:firstLine="0"/>
              <w:jc w:val="center"/>
            </w:pPr>
            <w:r>
              <w:rPr>
                <w:sz w:val="26"/>
              </w:rPr>
              <w:t>Md. Abdullah Az Zahur</w:t>
            </w:r>
          </w:p>
          <w:p w14:paraId="7E70EE6E" w14:textId="77777777" w:rsidR="00534BA8" w:rsidRDefault="00534BA8" w:rsidP="00D7097D">
            <w:pPr>
              <w:spacing w:after="124" w:line="259" w:lineRule="auto"/>
              <w:ind w:left="0" w:right="6" w:firstLine="0"/>
              <w:jc w:val="center"/>
            </w:pPr>
            <w:r>
              <w:rPr>
                <w:sz w:val="26"/>
              </w:rPr>
              <w:t>Student ID: 2571555</w:t>
            </w:r>
          </w:p>
          <w:p w14:paraId="4D77E8B9" w14:textId="77777777" w:rsidR="00534BA8" w:rsidRDefault="00534BA8" w:rsidP="00D7097D">
            <w:pPr>
              <w:spacing w:after="125" w:line="259" w:lineRule="auto"/>
              <w:ind w:left="0" w:right="3" w:firstLine="0"/>
              <w:jc w:val="center"/>
            </w:pPr>
            <w:r>
              <w:rPr>
                <w:sz w:val="26"/>
              </w:rPr>
              <w:t>Department of ICT</w:t>
            </w:r>
          </w:p>
          <w:p w14:paraId="0C27D74E" w14:textId="77777777" w:rsidR="00534BA8" w:rsidRDefault="00534BA8" w:rsidP="00D7097D">
            <w:pPr>
              <w:spacing w:after="0" w:line="259" w:lineRule="auto"/>
              <w:ind w:left="0" w:right="0" w:firstLine="0"/>
              <w:jc w:val="center"/>
            </w:pPr>
            <w:r>
              <w:rPr>
                <w:sz w:val="26"/>
              </w:rPr>
              <w:t>Khulna University of Engineering &amp; Technology (KUET).</w:t>
            </w:r>
          </w:p>
        </w:tc>
        <w:tc>
          <w:tcPr>
            <w:tcW w:w="5037" w:type="dxa"/>
          </w:tcPr>
          <w:p w14:paraId="6F7B737F" w14:textId="77777777" w:rsidR="00534BA8" w:rsidRDefault="00534BA8" w:rsidP="00D7097D">
            <w:pPr>
              <w:spacing w:after="124" w:line="259" w:lineRule="auto"/>
              <w:ind w:left="0" w:right="5" w:firstLine="0"/>
              <w:jc w:val="center"/>
              <w:rPr>
                <w:sz w:val="26"/>
              </w:rPr>
            </w:pPr>
            <w:r w:rsidRPr="007957B5">
              <w:rPr>
                <w:sz w:val="26"/>
              </w:rPr>
              <w:t xml:space="preserve">Dr. M. A. </w:t>
            </w:r>
            <w:proofErr w:type="spellStart"/>
            <w:r w:rsidRPr="007957B5">
              <w:rPr>
                <w:sz w:val="26"/>
              </w:rPr>
              <w:t>Moyeen</w:t>
            </w:r>
            <w:proofErr w:type="spellEnd"/>
          </w:p>
          <w:p w14:paraId="6E0AB6C3" w14:textId="77777777" w:rsidR="00534BA8" w:rsidRDefault="00534BA8" w:rsidP="00D7097D">
            <w:pPr>
              <w:spacing w:after="124" w:line="259" w:lineRule="auto"/>
              <w:ind w:left="0" w:right="5" w:firstLine="0"/>
              <w:jc w:val="center"/>
              <w:rPr>
                <w:sz w:val="26"/>
              </w:rPr>
            </w:pPr>
            <w:r>
              <w:rPr>
                <w:sz w:val="26"/>
              </w:rPr>
              <w:t>A</w:t>
            </w:r>
            <w:r w:rsidRPr="007957B5">
              <w:rPr>
                <w:sz w:val="26"/>
              </w:rPr>
              <w:t>ssistant Professor</w:t>
            </w:r>
          </w:p>
          <w:p w14:paraId="2C1238C6" w14:textId="77777777" w:rsidR="00534BA8" w:rsidRDefault="00534BA8" w:rsidP="00D7097D">
            <w:pPr>
              <w:spacing w:after="125" w:line="259" w:lineRule="auto"/>
              <w:ind w:left="0" w:right="8" w:firstLine="0"/>
              <w:jc w:val="center"/>
            </w:pPr>
            <w:r>
              <w:rPr>
                <w:sz w:val="26"/>
              </w:rPr>
              <w:t>Department of IICT</w:t>
            </w:r>
          </w:p>
          <w:p w14:paraId="5218C6FD" w14:textId="77777777" w:rsidR="00534BA8" w:rsidRDefault="00534BA8" w:rsidP="00D7097D">
            <w:pPr>
              <w:spacing w:after="0" w:line="259" w:lineRule="auto"/>
              <w:ind w:left="0" w:right="0" w:firstLine="0"/>
              <w:jc w:val="center"/>
            </w:pPr>
            <w:r>
              <w:rPr>
                <w:sz w:val="26"/>
              </w:rPr>
              <w:t>Khulna University of Engineering &amp; Technology (KUET).</w:t>
            </w:r>
          </w:p>
        </w:tc>
      </w:tr>
    </w:tbl>
    <w:p w14:paraId="02725ECB" w14:textId="77777777" w:rsidR="00534BA8" w:rsidRDefault="00534BA8" w:rsidP="00D7097D">
      <w:pPr>
        <w:spacing w:after="314" w:line="259" w:lineRule="auto"/>
        <w:ind w:left="0" w:right="0" w:firstLine="0"/>
        <w:jc w:val="center"/>
        <w:rPr>
          <w:sz w:val="22"/>
          <w:szCs w:val="28"/>
        </w:rPr>
      </w:pPr>
    </w:p>
    <w:p w14:paraId="78AB3ACE" w14:textId="204CE464" w:rsidR="00534BA8" w:rsidRDefault="00534BA8" w:rsidP="00D7097D">
      <w:pPr>
        <w:spacing w:after="314" w:line="259" w:lineRule="auto"/>
        <w:ind w:left="0" w:right="0" w:firstLine="0"/>
        <w:jc w:val="center"/>
      </w:pPr>
      <w:r>
        <w:t>Date: 11 July 2026</w:t>
      </w:r>
    </w:p>
    <w:p w14:paraId="05E87725" w14:textId="77777777" w:rsidR="00D7097D" w:rsidRDefault="00D7097D" w:rsidP="00D7097D">
      <w:pPr>
        <w:spacing w:after="314" w:line="259" w:lineRule="auto"/>
        <w:ind w:left="0" w:right="0" w:firstLine="0"/>
        <w:jc w:val="center"/>
      </w:pPr>
    </w:p>
    <w:p w14:paraId="2FA79D9A" w14:textId="77777777" w:rsidR="00D7097D" w:rsidRDefault="00D7097D" w:rsidP="00D7097D">
      <w:pPr>
        <w:spacing w:after="314" w:line="259" w:lineRule="auto"/>
        <w:ind w:left="0" w:right="0" w:firstLine="0"/>
        <w:jc w:val="center"/>
        <w:rPr>
          <w:sz w:val="22"/>
          <w:szCs w:val="28"/>
        </w:rPr>
      </w:pPr>
    </w:p>
    <w:p w14:paraId="35344B2B" w14:textId="77777777" w:rsidR="00D7097D" w:rsidRPr="00D7097D" w:rsidRDefault="00D7097D" w:rsidP="00D7097D">
      <w:pPr>
        <w:jc w:val="left"/>
        <w:rPr>
          <w:b/>
          <w:bCs/>
        </w:rPr>
      </w:pPr>
      <w:r w:rsidRPr="00D7097D">
        <w:rPr>
          <w:b/>
          <w:bCs/>
        </w:rPr>
        <w:t>I. Problem Definition</w:t>
      </w:r>
    </w:p>
    <w:p w14:paraId="3234855E" w14:textId="77777777" w:rsidR="00D7097D" w:rsidRPr="00D7097D" w:rsidRDefault="00D7097D" w:rsidP="00D7097D">
      <w:pPr>
        <w:jc w:val="left"/>
      </w:pPr>
      <w:r w:rsidRPr="00D7097D">
        <w:t>The integration of Artificial Intelligence (AI) in healthcare has shown remarkable potential for disease detection and clinical decision support. However, two fundamental challenges hinder its widespread adoption in real-world clinical settings: </w:t>
      </w:r>
      <w:r w:rsidRPr="00D7097D">
        <w:rPr>
          <w:b/>
          <w:bCs/>
        </w:rPr>
        <w:t>data privacy</w:t>
      </w:r>
      <w:r w:rsidRPr="00D7097D">
        <w:t> and </w:t>
      </w:r>
      <w:r w:rsidRPr="00D7097D">
        <w:rPr>
          <w:b/>
          <w:bCs/>
        </w:rPr>
        <w:t>lack of explainability</w:t>
      </w:r>
      <w:r w:rsidRPr="00D7097D">
        <w:t>.</w:t>
      </w:r>
    </w:p>
    <w:p w14:paraId="23ED2B56" w14:textId="77777777" w:rsidR="00D7097D" w:rsidRPr="00D7097D" w:rsidRDefault="00D7097D" w:rsidP="00D7097D">
      <w:pPr>
        <w:jc w:val="left"/>
      </w:pPr>
      <w:r w:rsidRPr="00D7097D">
        <w:t>Healthcare data is highly sensitive and protected by regulations such as GDPR and HIPAA, which restrict data sharing across institutions. This creates "data silos" where valuable medical data remains isolated within individual hospitals or clinics. Traditional machine learning approaches require centralized data aggregation, which is often impractical or illegal due to privacy concerns.</w:t>
      </w:r>
    </w:p>
    <w:p w14:paraId="5CA440F5" w14:textId="77777777" w:rsidR="00D7097D" w:rsidRPr="00D7097D" w:rsidRDefault="00D7097D" w:rsidP="00D7097D">
      <w:pPr>
        <w:jc w:val="left"/>
      </w:pPr>
      <w:r w:rsidRPr="00D7097D">
        <w:t>Additionally, modern deep learning models operate as "black boxes," making decisions that clinicians cannot interpret or trust. In high-stakes medical environments, explainability is not optional—it is essential for clinician confidence and patient safety.</w:t>
      </w:r>
    </w:p>
    <w:p w14:paraId="245CD21E" w14:textId="77777777" w:rsidR="00D7097D" w:rsidRPr="00D7097D" w:rsidRDefault="00D7097D" w:rsidP="00D7097D">
      <w:pPr>
        <w:jc w:val="left"/>
      </w:pPr>
      <w:r w:rsidRPr="00D7097D">
        <w:rPr>
          <w:b/>
          <w:bCs/>
        </w:rPr>
        <w:t>Clinical Impact:</w:t>
      </w:r>
      <w:r w:rsidRPr="00D7097D">
        <w:t> Without privacy-preserving mechanisms, AI models cannot access diverse, representative datasets, leading to biased and less accurate predictions. Without explainability, clinicians cannot trust or act upon AI recommendations, potentially leading to misdiagnosis or underutilization of life-saving technology.</w:t>
      </w:r>
    </w:p>
    <w:p w14:paraId="533BF093" w14:textId="77777777" w:rsidR="00D7097D" w:rsidRPr="00D7097D" w:rsidRDefault="00D7097D" w:rsidP="00D7097D">
      <w:pPr>
        <w:jc w:val="left"/>
        <w:rPr>
          <w:b/>
          <w:bCs/>
        </w:rPr>
      </w:pPr>
      <w:r w:rsidRPr="00D7097D">
        <w:rPr>
          <w:b/>
          <w:bCs/>
        </w:rPr>
        <w:t>II. State-of-the-Art (SOTA) Analysis</w:t>
      </w:r>
    </w:p>
    <w:p w14:paraId="3D890F38" w14:textId="77777777" w:rsidR="00D7097D" w:rsidRPr="00D7097D" w:rsidRDefault="00D7097D" w:rsidP="00D7097D">
      <w:pPr>
        <w:jc w:val="left"/>
      </w:pPr>
      <w:r w:rsidRPr="00D7097D">
        <w:t>Several approaches have been proposed to address these challenges. This section compares five prominent methods based on accuracy, privacy, explainability, and computational cost.</w:t>
      </w:r>
    </w:p>
    <w:tbl>
      <w:tblPr>
        <w:tblW w:w="0" w:type="auto"/>
        <w:tblCellMar>
          <w:top w:w="15" w:type="dxa"/>
          <w:left w:w="15" w:type="dxa"/>
          <w:bottom w:w="15" w:type="dxa"/>
          <w:right w:w="15" w:type="dxa"/>
        </w:tblCellMar>
        <w:tblLook w:val="04A0" w:firstRow="1" w:lastRow="0" w:firstColumn="1" w:lastColumn="0" w:noHBand="0" w:noVBand="1"/>
      </w:tblPr>
      <w:tblGrid>
        <w:gridCol w:w="1512"/>
        <w:gridCol w:w="1296"/>
        <w:gridCol w:w="1423"/>
        <w:gridCol w:w="1674"/>
        <w:gridCol w:w="1683"/>
        <w:gridCol w:w="1772"/>
      </w:tblGrid>
      <w:tr w:rsidR="007207C1" w:rsidRPr="007207C1" w14:paraId="4A0ACC2B" w14:textId="77777777" w:rsidTr="007207C1">
        <w:trPr>
          <w:tblHeader/>
        </w:trPr>
        <w:tc>
          <w:tcPr>
            <w:tcW w:w="0" w:type="auto"/>
            <w:tcBorders>
              <w:top w:val="nil"/>
            </w:tcBorders>
            <w:tcMar>
              <w:top w:w="150" w:type="dxa"/>
              <w:left w:w="0" w:type="dxa"/>
              <w:bottom w:w="150" w:type="dxa"/>
              <w:right w:w="240" w:type="dxa"/>
            </w:tcMar>
            <w:vAlign w:val="center"/>
            <w:hideMark/>
          </w:tcPr>
          <w:p w14:paraId="2029E6A3"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lastRenderedPageBreak/>
              <w:t>Method</w:t>
            </w:r>
          </w:p>
        </w:tc>
        <w:tc>
          <w:tcPr>
            <w:tcW w:w="0" w:type="auto"/>
            <w:tcBorders>
              <w:top w:val="nil"/>
            </w:tcBorders>
            <w:tcMar>
              <w:top w:w="150" w:type="dxa"/>
              <w:left w:w="240" w:type="dxa"/>
              <w:bottom w:w="150" w:type="dxa"/>
              <w:right w:w="240" w:type="dxa"/>
            </w:tcMar>
            <w:vAlign w:val="center"/>
            <w:hideMark/>
          </w:tcPr>
          <w:p w14:paraId="0281CBB1"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Accuracy</w:t>
            </w:r>
          </w:p>
        </w:tc>
        <w:tc>
          <w:tcPr>
            <w:tcW w:w="0" w:type="auto"/>
            <w:tcBorders>
              <w:top w:val="nil"/>
            </w:tcBorders>
            <w:tcMar>
              <w:top w:w="150" w:type="dxa"/>
              <w:left w:w="240" w:type="dxa"/>
              <w:bottom w:w="150" w:type="dxa"/>
              <w:right w:w="240" w:type="dxa"/>
            </w:tcMar>
            <w:vAlign w:val="center"/>
            <w:hideMark/>
          </w:tcPr>
          <w:p w14:paraId="486FFBEC"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Privacy Protection</w:t>
            </w:r>
          </w:p>
        </w:tc>
        <w:tc>
          <w:tcPr>
            <w:tcW w:w="0" w:type="auto"/>
            <w:tcBorders>
              <w:top w:val="nil"/>
            </w:tcBorders>
            <w:tcMar>
              <w:top w:w="150" w:type="dxa"/>
              <w:left w:w="240" w:type="dxa"/>
              <w:bottom w:w="150" w:type="dxa"/>
              <w:right w:w="240" w:type="dxa"/>
            </w:tcMar>
            <w:vAlign w:val="center"/>
            <w:hideMark/>
          </w:tcPr>
          <w:p w14:paraId="0B20768A"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Explainability</w:t>
            </w:r>
          </w:p>
        </w:tc>
        <w:tc>
          <w:tcPr>
            <w:tcW w:w="0" w:type="auto"/>
            <w:tcBorders>
              <w:top w:val="nil"/>
            </w:tcBorders>
            <w:tcMar>
              <w:top w:w="150" w:type="dxa"/>
              <w:left w:w="240" w:type="dxa"/>
              <w:bottom w:w="150" w:type="dxa"/>
              <w:right w:w="240" w:type="dxa"/>
            </w:tcMar>
            <w:vAlign w:val="center"/>
            <w:hideMark/>
          </w:tcPr>
          <w:p w14:paraId="77704287"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Computation Cost</w:t>
            </w:r>
          </w:p>
        </w:tc>
        <w:tc>
          <w:tcPr>
            <w:tcW w:w="0" w:type="auto"/>
            <w:tcBorders>
              <w:top w:val="nil"/>
            </w:tcBorders>
            <w:tcMar>
              <w:top w:w="150" w:type="dxa"/>
              <w:left w:w="240" w:type="dxa"/>
              <w:bottom w:w="150" w:type="dxa"/>
              <w:right w:w="240" w:type="dxa"/>
            </w:tcMar>
            <w:vAlign w:val="center"/>
            <w:hideMark/>
          </w:tcPr>
          <w:p w14:paraId="28B5304D"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Key Limitation</w:t>
            </w:r>
          </w:p>
        </w:tc>
      </w:tr>
      <w:tr w:rsidR="007207C1" w:rsidRPr="007207C1" w14:paraId="13F1D751" w14:textId="77777777" w:rsidTr="007207C1">
        <w:tc>
          <w:tcPr>
            <w:tcW w:w="0" w:type="auto"/>
            <w:tcMar>
              <w:top w:w="150" w:type="dxa"/>
              <w:left w:w="0" w:type="dxa"/>
              <w:bottom w:w="150" w:type="dxa"/>
              <w:right w:w="240" w:type="dxa"/>
            </w:tcMar>
            <w:vAlign w:val="center"/>
            <w:hideMark/>
          </w:tcPr>
          <w:p w14:paraId="1B47716E"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b/>
                <w:bCs/>
                <w:color w:val="auto"/>
                <w:kern w:val="0"/>
                <w:sz w:val="23"/>
                <w:szCs w:val="23"/>
                <w14:ligatures w14:val="none"/>
              </w:rPr>
              <w:t>Centralized Deep Learning</w:t>
            </w:r>
          </w:p>
        </w:tc>
        <w:tc>
          <w:tcPr>
            <w:tcW w:w="0" w:type="auto"/>
            <w:tcMar>
              <w:top w:w="150" w:type="dxa"/>
              <w:left w:w="240" w:type="dxa"/>
              <w:bottom w:w="150" w:type="dxa"/>
              <w:right w:w="240" w:type="dxa"/>
            </w:tcMar>
            <w:vAlign w:val="center"/>
            <w:hideMark/>
          </w:tcPr>
          <w:p w14:paraId="1ED73A57"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High (95%)</w:t>
            </w:r>
          </w:p>
        </w:tc>
        <w:tc>
          <w:tcPr>
            <w:tcW w:w="0" w:type="auto"/>
            <w:tcMar>
              <w:top w:w="150" w:type="dxa"/>
              <w:left w:w="240" w:type="dxa"/>
              <w:bottom w:w="150" w:type="dxa"/>
              <w:right w:w="240" w:type="dxa"/>
            </w:tcMar>
            <w:vAlign w:val="center"/>
            <w:hideMark/>
          </w:tcPr>
          <w:p w14:paraId="41E5E9FB"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None</w:t>
            </w:r>
          </w:p>
        </w:tc>
        <w:tc>
          <w:tcPr>
            <w:tcW w:w="0" w:type="auto"/>
            <w:tcMar>
              <w:top w:w="150" w:type="dxa"/>
              <w:left w:w="240" w:type="dxa"/>
              <w:bottom w:w="150" w:type="dxa"/>
              <w:right w:w="240" w:type="dxa"/>
            </w:tcMar>
            <w:vAlign w:val="center"/>
            <w:hideMark/>
          </w:tcPr>
          <w:p w14:paraId="2C4E1BE0"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Low (</w:t>
            </w:r>
            <w:proofErr w:type="gramStart"/>
            <w:r w:rsidRPr="007207C1">
              <w:rPr>
                <w:rFonts w:ascii="Segoe UI" w:hAnsi="Segoe UI" w:cs="Segoe UI"/>
                <w:color w:val="auto"/>
                <w:kern w:val="0"/>
                <w:sz w:val="23"/>
                <w:szCs w:val="23"/>
                <w14:ligatures w14:val="none"/>
              </w:rPr>
              <w:t>Black-box</w:t>
            </w:r>
            <w:proofErr w:type="gramEnd"/>
            <w:r w:rsidRPr="007207C1">
              <w:rPr>
                <w:rFonts w:ascii="Segoe UI" w:hAnsi="Segoe UI" w:cs="Segoe UI"/>
                <w:color w:val="auto"/>
                <w:kern w:val="0"/>
                <w:sz w:val="23"/>
                <w:szCs w:val="23"/>
                <w14:ligatures w14:val="none"/>
              </w:rPr>
              <w:t>)</w:t>
            </w:r>
          </w:p>
        </w:tc>
        <w:tc>
          <w:tcPr>
            <w:tcW w:w="0" w:type="auto"/>
            <w:tcMar>
              <w:top w:w="150" w:type="dxa"/>
              <w:left w:w="240" w:type="dxa"/>
              <w:bottom w:w="150" w:type="dxa"/>
              <w:right w:w="240" w:type="dxa"/>
            </w:tcMar>
            <w:vAlign w:val="center"/>
            <w:hideMark/>
          </w:tcPr>
          <w:p w14:paraId="4B90241C"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High</w:t>
            </w:r>
          </w:p>
        </w:tc>
        <w:tc>
          <w:tcPr>
            <w:tcW w:w="0" w:type="auto"/>
            <w:tcMar>
              <w:top w:w="150" w:type="dxa"/>
              <w:left w:w="240" w:type="dxa"/>
              <w:bottom w:w="150" w:type="dxa"/>
              <w:right w:w="0" w:type="dxa"/>
            </w:tcMar>
            <w:vAlign w:val="center"/>
            <w:hideMark/>
          </w:tcPr>
          <w:p w14:paraId="73C627CD"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Privacy violation; data sharing required</w:t>
            </w:r>
          </w:p>
        </w:tc>
      </w:tr>
      <w:tr w:rsidR="007207C1" w:rsidRPr="007207C1" w14:paraId="42995519" w14:textId="77777777" w:rsidTr="007207C1">
        <w:tc>
          <w:tcPr>
            <w:tcW w:w="0" w:type="auto"/>
            <w:tcMar>
              <w:top w:w="150" w:type="dxa"/>
              <w:left w:w="0" w:type="dxa"/>
              <w:bottom w:w="150" w:type="dxa"/>
              <w:right w:w="240" w:type="dxa"/>
            </w:tcMar>
            <w:vAlign w:val="center"/>
            <w:hideMark/>
          </w:tcPr>
          <w:p w14:paraId="3FDDEB02"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b/>
                <w:bCs/>
                <w:color w:val="auto"/>
                <w:kern w:val="0"/>
                <w:sz w:val="23"/>
                <w:szCs w:val="23"/>
                <w14:ligatures w14:val="none"/>
              </w:rPr>
              <w:t>Federated Learning (FL)</w:t>
            </w:r>
          </w:p>
        </w:tc>
        <w:tc>
          <w:tcPr>
            <w:tcW w:w="0" w:type="auto"/>
            <w:tcMar>
              <w:top w:w="150" w:type="dxa"/>
              <w:left w:w="240" w:type="dxa"/>
              <w:bottom w:w="150" w:type="dxa"/>
              <w:right w:w="240" w:type="dxa"/>
            </w:tcMar>
            <w:vAlign w:val="center"/>
            <w:hideMark/>
          </w:tcPr>
          <w:p w14:paraId="3F8D887D"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High (93%)</w:t>
            </w:r>
          </w:p>
        </w:tc>
        <w:tc>
          <w:tcPr>
            <w:tcW w:w="0" w:type="auto"/>
            <w:tcMar>
              <w:top w:w="150" w:type="dxa"/>
              <w:left w:w="240" w:type="dxa"/>
              <w:bottom w:w="150" w:type="dxa"/>
              <w:right w:w="240" w:type="dxa"/>
            </w:tcMar>
            <w:vAlign w:val="center"/>
            <w:hideMark/>
          </w:tcPr>
          <w:p w14:paraId="33B9F84E"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High (Data stays local)</w:t>
            </w:r>
          </w:p>
        </w:tc>
        <w:tc>
          <w:tcPr>
            <w:tcW w:w="0" w:type="auto"/>
            <w:tcMar>
              <w:top w:w="150" w:type="dxa"/>
              <w:left w:w="240" w:type="dxa"/>
              <w:bottom w:w="150" w:type="dxa"/>
              <w:right w:w="240" w:type="dxa"/>
            </w:tcMar>
            <w:vAlign w:val="center"/>
            <w:hideMark/>
          </w:tcPr>
          <w:p w14:paraId="00779A76"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Low</w:t>
            </w:r>
          </w:p>
        </w:tc>
        <w:tc>
          <w:tcPr>
            <w:tcW w:w="0" w:type="auto"/>
            <w:tcMar>
              <w:top w:w="150" w:type="dxa"/>
              <w:left w:w="240" w:type="dxa"/>
              <w:bottom w:w="150" w:type="dxa"/>
              <w:right w:w="240" w:type="dxa"/>
            </w:tcMar>
            <w:vAlign w:val="center"/>
            <w:hideMark/>
          </w:tcPr>
          <w:p w14:paraId="076D5758"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Medium</w:t>
            </w:r>
          </w:p>
        </w:tc>
        <w:tc>
          <w:tcPr>
            <w:tcW w:w="0" w:type="auto"/>
            <w:tcMar>
              <w:top w:w="150" w:type="dxa"/>
              <w:left w:w="240" w:type="dxa"/>
              <w:bottom w:w="150" w:type="dxa"/>
              <w:right w:w="0" w:type="dxa"/>
            </w:tcMar>
            <w:vAlign w:val="center"/>
            <w:hideMark/>
          </w:tcPr>
          <w:p w14:paraId="08BC8079"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No explainability for clinicians</w:t>
            </w:r>
          </w:p>
        </w:tc>
      </w:tr>
      <w:tr w:rsidR="007207C1" w:rsidRPr="007207C1" w14:paraId="6A67C4E7" w14:textId="77777777" w:rsidTr="007207C1">
        <w:tc>
          <w:tcPr>
            <w:tcW w:w="0" w:type="auto"/>
            <w:tcMar>
              <w:top w:w="150" w:type="dxa"/>
              <w:left w:w="0" w:type="dxa"/>
              <w:bottom w:w="150" w:type="dxa"/>
              <w:right w:w="240" w:type="dxa"/>
            </w:tcMar>
            <w:vAlign w:val="center"/>
            <w:hideMark/>
          </w:tcPr>
          <w:p w14:paraId="0F626595"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b/>
                <w:bCs/>
                <w:color w:val="auto"/>
                <w:kern w:val="0"/>
                <w:sz w:val="23"/>
                <w:szCs w:val="23"/>
                <w14:ligatures w14:val="none"/>
              </w:rPr>
              <w:t>FL + Differential Privacy</w:t>
            </w:r>
          </w:p>
        </w:tc>
        <w:tc>
          <w:tcPr>
            <w:tcW w:w="0" w:type="auto"/>
            <w:tcMar>
              <w:top w:w="150" w:type="dxa"/>
              <w:left w:w="240" w:type="dxa"/>
              <w:bottom w:w="150" w:type="dxa"/>
              <w:right w:w="240" w:type="dxa"/>
            </w:tcMar>
            <w:vAlign w:val="center"/>
            <w:hideMark/>
          </w:tcPr>
          <w:p w14:paraId="4CDFB77B"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Medium (88%)</w:t>
            </w:r>
          </w:p>
        </w:tc>
        <w:tc>
          <w:tcPr>
            <w:tcW w:w="0" w:type="auto"/>
            <w:tcMar>
              <w:top w:w="150" w:type="dxa"/>
              <w:left w:w="240" w:type="dxa"/>
              <w:bottom w:w="150" w:type="dxa"/>
              <w:right w:w="240" w:type="dxa"/>
            </w:tcMar>
            <w:vAlign w:val="center"/>
            <w:hideMark/>
          </w:tcPr>
          <w:p w14:paraId="3D8EC5EC"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Very High (ε-noise)</w:t>
            </w:r>
          </w:p>
        </w:tc>
        <w:tc>
          <w:tcPr>
            <w:tcW w:w="0" w:type="auto"/>
            <w:tcMar>
              <w:top w:w="150" w:type="dxa"/>
              <w:left w:w="240" w:type="dxa"/>
              <w:bottom w:w="150" w:type="dxa"/>
              <w:right w:w="240" w:type="dxa"/>
            </w:tcMar>
            <w:vAlign w:val="center"/>
            <w:hideMark/>
          </w:tcPr>
          <w:p w14:paraId="294BB937"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Low</w:t>
            </w:r>
          </w:p>
        </w:tc>
        <w:tc>
          <w:tcPr>
            <w:tcW w:w="0" w:type="auto"/>
            <w:tcMar>
              <w:top w:w="150" w:type="dxa"/>
              <w:left w:w="240" w:type="dxa"/>
              <w:bottom w:w="150" w:type="dxa"/>
              <w:right w:w="240" w:type="dxa"/>
            </w:tcMar>
            <w:vAlign w:val="center"/>
            <w:hideMark/>
          </w:tcPr>
          <w:p w14:paraId="590D3B96"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High</w:t>
            </w:r>
          </w:p>
        </w:tc>
        <w:tc>
          <w:tcPr>
            <w:tcW w:w="0" w:type="auto"/>
            <w:tcMar>
              <w:top w:w="150" w:type="dxa"/>
              <w:left w:w="240" w:type="dxa"/>
              <w:bottom w:w="150" w:type="dxa"/>
              <w:right w:w="0" w:type="dxa"/>
            </w:tcMar>
            <w:vAlign w:val="center"/>
            <w:hideMark/>
          </w:tcPr>
          <w:p w14:paraId="6BB3C3B4"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Accuracy loss; no explainability</w:t>
            </w:r>
          </w:p>
        </w:tc>
      </w:tr>
      <w:tr w:rsidR="007207C1" w:rsidRPr="007207C1" w14:paraId="70ED4C1E" w14:textId="77777777" w:rsidTr="007207C1">
        <w:tc>
          <w:tcPr>
            <w:tcW w:w="0" w:type="auto"/>
            <w:tcMar>
              <w:top w:w="150" w:type="dxa"/>
              <w:left w:w="0" w:type="dxa"/>
              <w:bottom w:w="150" w:type="dxa"/>
              <w:right w:w="240" w:type="dxa"/>
            </w:tcMar>
            <w:vAlign w:val="center"/>
            <w:hideMark/>
          </w:tcPr>
          <w:p w14:paraId="29F9BD24"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b/>
                <w:bCs/>
                <w:color w:val="auto"/>
                <w:kern w:val="0"/>
                <w:sz w:val="23"/>
                <w:szCs w:val="23"/>
                <w14:ligatures w14:val="none"/>
              </w:rPr>
              <w:t>FL + XAI (SHAP/LIME)</w:t>
            </w:r>
          </w:p>
        </w:tc>
        <w:tc>
          <w:tcPr>
            <w:tcW w:w="0" w:type="auto"/>
            <w:tcMar>
              <w:top w:w="150" w:type="dxa"/>
              <w:left w:w="240" w:type="dxa"/>
              <w:bottom w:w="150" w:type="dxa"/>
              <w:right w:w="240" w:type="dxa"/>
            </w:tcMar>
            <w:vAlign w:val="center"/>
            <w:hideMark/>
          </w:tcPr>
          <w:p w14:paraId="6CD9E524"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High (94%)</w:t>
            </w:r>
          </w:p>
        </w:tc>
        <w:tc>
          <w:tcPr>
            <w:tcW w:w="0" w:type="auto"/>
            <w:tcMar>
              <w:top w:w="150" w:type="dxa"/>
              <w:left w:w="240" w:type="dxa"/>
              <w:bottom w:w="150" w:type="dxa"/>
              <w:right w:w="240" w:type="dxa"/>
            </w:tcMar>
            <w:vAlign w:val="center"/>
            <w:hideMark/>
          </w:tcPr>
          <w:p w14:paraId="7E3898D3"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High</w:t>
            </w:r>
          </w:p>
        </w:tc>
        <w:tc>
          <w:tcPr>
            <w:tcW w:w="0" w:type="auto"/>
            <w:tcMar>
              <w:top w:w="150" w:type="dxa"/>
              <w:left w:w="240" w:type="dxa"/>
              <w:bottom w:w="150" w:type="dxa"/>
              <w:right w:w="240" w:type="dxa"/>
            </w:tcMar>
            <w:vAlign w:val="center"/>
            <w:hideMark/>
          </w:tcPr>
          <w:p w14:paraId="5C4BD581"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High (Feature importance)</w:t>
            </w:r>
          </w:p>
        </w:tc>
        <w:tc>
          <w:tcPr>
            <w:tcW w:w="0" w:type="auto"/>
            <w:tcMar>
              <w:top w:w="150" w:type="dxa"/>
              <w:left w:w="240" w:type="dxa"/>
              <w:bottom w:w="150" w:type="dxa"/>
              <w:right w:w="240" w:type="dxa"/>
            </w:tcMar>
            <w:vAlign w:val="center"/>
            <w:hideMark/>
          </w:tcPr>
          <w:p w14:paraId="644AA3A2"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Very High</w:t>
            </w:r>
          </w:p>
        </w:tc>
        <w:tc>
          <w:tcPr>
            <w:tcW w:w="0" w:type="auto"/>
            <w:tcMar>
              <w:top w:w="150" w:type="dxa"/>
              <w:left w:w="240" w:type="dxa"/>
              <w:bottom w:w="150" w:type="dxa"/>
              <w:right w:w="0" w:type="dxa"/>
            </w:tcMar>
            <w:vAlign w:val="center"/>
            <w:hideMark/>
          </w:tcPr>
          <w:p w14:paraId="1E745BAA"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Computationally expensive for FL</w:t>
            </w:r>
          </w:p>
        </w:tc>
      </w:tr>
      <w:tr w:rsidR="007207C1" w:rsidRPr="007207C1" w14:paraId="46C45BD7" w14:textId="77777777" w:rsidTr="007207C1">
        <w:tc>
          <w:tcPr>
            <w:tcW w:w="0" w:type="auto"/>
            <w:tcMar>
              <w:top w:w="150" w:type="dxa"/>
              <w:left w:w="0" w:type="dxa"/>
              <w:bottom w:w="150" w:type="dxa"/>
              <w:right w:w="240" w:type="dxa"/>
            </w:tcMar>
            <w:vAlign w:val="center"/>
            <w:hideMark/>
          </w:tcPr>
          <w:p w14:paraId="5A8E000D"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b/>
                <w:bCs/>
                <w:color w:val="auto"/>
                <w:kern w:val="0"/>
                <w:sz w:val="23"/>
                <w:szCs w:val="23"/>
                <w14:ligatures w14:val="none"/>
              </w:rPr>
              <w:t>Lightweight FL + XAI</w:t>
            </w:r>
          </w:p>
        </w:tc>
        <w:tc>
          <w:tcPr>
            <w:tcW w:w="0" w:type="auto"/>
            <w:tcMar>
              <w:top w:w="150" w:type="dxa"/>
              <w:left w:w="240" w:type="dxa"/>
              <w:bottom w:w="150" w:type="dxa"/>
              <w:right w:w="240" w:type="dxa"/>
            </w:tcMar>
            <w:vAlign w:val="center"/>
            <w:hideMark/>
          </w:tcPr>
          <w:p w14:paraId="14A4D4F5"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Medium (90%)</w:t>
            </w:r>
          </w:p>
        </w:tc>
        <w:tc>
          <w:tcPr>
            <w:tcW w:w="0" w:type="auto"/>
            <w:tcMar>
              <w:top w:w="150" w:type="dxa"/>
              <w:left w:w="240" w:type="dxa"/>
              <w:bottom w:w="150" w:type="dxa"/>
              <w:right w:w="240" w:type="dxa"/>
            </w:tcMar>
            <w:vAlign w:val="center"/>
            <w:hideMark/>
          </w:tcPr>
          <w:p w14:paraId="128A7381"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High</w:t>
            </w:r>
          </w:p>
        </w:tc>
        <w:tc>
          <w:tcPr>
            <w:tcW w:w="0" w:type="auto"/>
            <w:tcMar>
              <w:top w:w="150" w:type="dxa"/>
              <w:left w:w="240" w:type="dxa"/>
              <w:bottom w:w="150" w:type="dxa"/>
              <w:right w:w="240" w:type="dxa"/>
            </w:tcMar>
            <w:vAlign w:val="center"/>
            <w:hideMark/>
          </w:tcPr>
          <w:p w14:paraId="647DCDB0"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High</w:t>
            </w:r>
          </w:p>
        </w:tc>
        <w:tc>
          <w:tcPr>
            <w:tcW w:w="0" w:type="auto"/>
            <w:tcMar>
              <w:top w:w="150" w:type="dxa"/>
              <w:left w:w="240" w:type="dxa"/>
              <w:bottom w:w="150" w:type="dxa"/>
              <w:right w:w="240" w:type="dxa"/>
            </w:tcMar>
            <w:vAlign w:val="center"/>
            <w:hideMark/>
          </w:tcPr>
          <w:p w14:paraId="4948D11F"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Low</w:t>
            </w:r>
          </w:p>
        </w:tc>
        <w:tc>
          <w:tcPr>
            <w:tcW w:w="0" w:type="auto"/>
            <w:tcMar>
              <w:top w:w="150" w:type="dxa"/>
              <w:left w:w="240" w:type="dxa"/>
              <w:bottom w:w="150" w:type="dxa"/>
              <w:right w:w="0" w:type="dxa"/>
            </w:tcMar>
            <w:vAlign w:val="center"/>
            <w:hideMark/>
          </w:tcPr>
          <w:p w14:paraId="098B7997" w14:textId="77777777" w:rsidR="007207C1" w:rsidRPr="007207C1" w:rsidRDefault="007207C1" w:rsidP="007207C1">
            <w:pPr>
              <w:spacing w:after="0" w:line="375" w:lineRule="atLeast"/>
              <w:ind w:left="0" w:right="0" w:firstLine="0"/>
              <w:jc w:val="left"/>
              <w:rPr>
                <w:rFonts w:ascii="Segoe UI" w:hAnsi="Segoe UI" w:cs="Segoe UI"/>
                <w:color w:val="auto"/>
                <w:kern w:val="0"/>
                <w:sz w:val="23"/>
                <w:szCs w:val="23"/>
                <w14:ligatures w14:val="none"/>
              </w:rPr>
            </w:pPr>
            <w:r w:rsidRPr="007207C1">
              <w:rPr>
                <w:rFonts w:ascii="Segoe UI" w:hAnsi="Segoe UI" w:cs="Segoe UI"/>
                <w:color w:val="auto"/>
                <w:kern w:val="0"/>
                <w:sz w:val="23"/>
                <w:szCs w:val="23"/>
                <w14:ligatures w14:val="none"/>
              </w:rPr>
              <w:t>Accuracy trade-off for efficiency</w:t>
            </w:r>
          </w:p>
        </w:tc>
      </w:tr>
    </w:tbl>
    <w:p w14:paraId="559BD13F" w14:textId="77777777" w:rsidR="00204C22" w:rsidRDefault="00204C22" w:rsidP="00D7097D">
      <w:pPr>
        <w:jc w:val="left"/>
        <w:rPr>
          <w:u w:val="single"/>
        </w:rPr>
      </w:pPr>
    </w:p>
    <w:p w14:paraId="0FF17582" w14:textId="77777777" w:rsidR="007207C1" w:rsidRPr="007207C1" w:rsidRDefault="007207C1" w:rsidP="007207C1">
      <w:pPr>
        <w:jc w:val="left"/>
      </w:pPr>
      <w:r w:rsidRPr="007207C1">
        <w:rPr>
          <w:b/>
          <w:bCs/>
        </w:rPr>
        <w:t>Key Observations:</w:t>
      </w:r>
    </w:p>
    <w:p w14:paraId="3D35C6EE" w14:textId="77777777" w:rsidR="007207C1" w:rsidRPr="007207C1" w:rsidRDefault="007207C1" w:rsidP="007207C1">
      <w:pPr>
        <w:numPr>
          <w:ilvl w:val="0"/>
          <w:numId w:val="4"/>
        </w:numPr>
        <w:jc w:val="left"/>
      </w:pPr>
      <w:r w:rsidRPr="007207C1">
        <w:t>No single method achieves all four desired criteria simultaneously.</w:t>
      </w:r>
    </w:p>
    <w:p w14:paraId="531D75F8" w14:textId="77777777" w:rsidR="007207C1" w:rsidRPr="007207C1" w:rsidRDefault="007207C1" w:rsidP="007207C1">
      <w:pPr>
        <w:numPr>
          <w:ilvl w:val="0"/>
          <w:numId w:val="4"/>
        </w:numPr>
        <w:jc w:val="left"/>
      </w:pPr>
      <w:r w:rsidRPr="007207C1">
        <w:t>Most FL research focuses on accuracy and privacy, neglecting explainability.</w:t>
      </w:r>
    </w:p>
    <w:p w14:paraId="2C439F4F" w14:textId="77777777" w:rsidR="007207C1" w:rsidRPr="007207C1" w:rsidRDefault="007207C1" w:rsidP="007207C1">
      <w:pPr>
        <w:numPr>
          <w:ilvl w:val="0"/>
          <w:numId w:val="4"/>
        </w:numPr>
        <w:jc w:val="left"/>
      </w:pPr>
      <w:r w:rsidRPr="007207C1">
        <w:lastRenderedPageBreak/>
        <w:t>XAI methods like SHAP and LIME are computationally expensive for federated environments.</w:t>
      </w:r>
    </w:p>
    <w:p w14:paraId="394368F9" w14:textId="77777777" w:rsidR="007207C1" w:rsidRPr="007207C1" w:rsidRDefault="007207C1" w:rsidP="007207C1">
      <w:pPr>
        <w:numPr>
          <w:ilvl w:val="0"/>
          <w:numId w:val="4"/>
        </w:numPr>
        <w:jc w:val="left"/>
      </w:pPr>
      <w:r w:rsidRPr="007207C1">
        <w:t>Lightweight approaches trade accuracy for efficiency.</w:t>
      </w:r>
    </w:p>
    <w:p w14:paraId="6A1EF90A" w14:textId="77777777" w:rsidR="007207C1" w:rsidRPr="007207C1" w:rsidRDefault="007207C1" w:rsidP="007207C1">
      <w:pPr>
        <w:jc w:val="left"/>
      </w:pPr>
      <w:r w:rsidRPr="007207C1">
        <w:rPr>
          <w:b/>
          <w:bCs/>
        </w:rPr>
        <w:t>Sources:</w:t>
      </w:r>
      <w:r w:rsidRPr="007207C1">
        <w:t> </w:t>
      </w:r>
      <w:proofErr w:type="spellStart"/>
      <w:r w:rsidRPr="007207C1">
        <w:t>Chaddad</w:t>
      </w:r>
      <w:proofErr w:type="spellEnd"/>
      <w:r w:rsidRPr="007207C1">
        <w:t xml:space="preserve"> et al. (2023), Saraswat et al. (2022), Hasanzadeh et al. (2025), Baker &amp; Xiang (2023)</w:t>
      </w:r>
    </w:p>
    <w:p w14:paraId="1F81AE2B" w14:textId="77777777" w:rsidR="007207C1" w:rsidRPr="007207C1" w:rsidRDefault="007207C1" w:rsidP="007207C1">
      <w:pPr>
        <w:jc w:val="left"/>
        <w:rPr>
          <w:b/>
          <w:bCs/>
        </w:rPr>
      </w:pPr>
      <w:r w:rsidRPr="007207C1">
        <w:rPr>
          <w:b/>
          <w:bCs/>
        </w:rPr>
        <w:t>III. Technical Gaps</w:t>
      </w:r>
    </w:p>
    <w:p w14:paraId="4D037C11" w14:textId="77777777" w:rsidR="007207C1" w:rsidRPr="007207C1" w:rsidRDefault="007207C1" w:rsidP="007207C1">
      <w:pPr>
        <w:jc w:val="left"/>
      </w:pPr>
      <w:r w:rsidRPr="007207C1">
        <w:t>Despite significant progress, several critical gaps remain in the current state-of-the-art:</w:t>
      </w:r>
    </w:p>
    <w:p w14:paraId="19BB66DA" w14:textId="77777777" w:rsidR="007207C1" w:rsidRPr="007207C1" w:rsidRDefault="007207C1" w:rsidP="007207C1">
      <w:pPr>
        <w:numPr>
          <w:ilvl w:val="0"/>
          <w:numId w:val="5"/>
        </w:numPr>
        <w:jc w:val="left"/>
      </w:pPr>
      <w:r w:rsidRPr="007207C1">
        <w:rPr>
          <w:b/>
          <w:bCs/>
        </w:rPr>
        <w:t>Lack of Explainability in Federated Learning:</w:t>
      </w:r>
    </w:p>
    <w:p w14:paraId="45658865" w14:textId="77777777" w:rsidR="007207C1" w:rsidRPr="007207C1" w:rsidRDefault="007207C1" w:rsidP="007207C1">
      <w:pPr>
        <w:numPr>
          <w:ilvl w:val="1"/>
          <w:numId w:val="5"/>
        </w:numPr>
        <w:jc w:val="left"/>
      </w:pPr>
      <w:r w:rsidRPr="007207C1">
        <w:t>Most FL research prioritizes accuracy and privacy over interpretability.</w:t>
      </w:r>
    </w:p>
    <w:p w14:paraId="632E644E" w14:textId="77777777" w:rsidR="007207C1" w:rsidRPr="007207C1" w:rsidRDefault="007207C1" w:rsidP="007207C1">
      <w:pPr>
        <w:numPr>
          <w:ilvl w:val="1"/>
          <w:numId w:val="5"/>
        </w:numPr>
        <w:jc w:val="left"/>
      </w:pPr>
      <w:r w:rsidRPr="007207C1">
        <w:t>Traditional XAI methods (SHAP, LIME) assume access to the full dataset, which is not possible in FL.</w:t>
      </w:r>
    </w:p>
    <w:p w14:paraId="05CAE778" w14:textId="77777777" w:rsidR="007207C1" w:rsidRPr="007207C1" w:rsidRDefault="007207C1" w:rsidP="007207C1">
      <w:pPr>
        <w:numPr>
          <w:ilvl w:val="1"/>
          <w:numId w:val="5"/>
        </w:numPr>
        <w:jc w:val="left"/>
      </w:pPr>
      <w:r w:rsidRPr="007207C1">
        <w:t>Clinicians cannot trust FL models without explanations.</w:t>
      </w:r>
    </w:p>
    <w:p w14:paraId="541EA5FB" w14:textId="77777777" w:rsidR="007207C1" w:rsidRPr="007207C1" w:rsidRDefault="007207C1" w:rsidP="007207C1">
      <w:pPr>
        <w:numPr>
          <w:ilvl w:val="0"/>
          <w:numId w:val="5"/>
        </w:numPr>
        <w:jc w:val="left"/>
      </w:pPr>
      <w:r w:rsidRPr="007207C1">
        <w:rPr>
          <w:b/>
          <w:bCs/>
        </w:rPr>
        <w:t>Privacy-Explainability Trade-off:</w:t>
      </w:r>
    </w:p>
    <w:p w14:paraId="36D281A6" w14:textId="77777777" w:rsidR="007207C1" w:rsidRPr="007207C1" w:rsidRDefault="007207C1" w:rsidP="007207C1">
      <w:pPr>
        <w:numPr>
          <w:ilvl w:val="1"/>
          <w:numId w:val="5"/>
        </w:numPr>
        <w:jc w:val="left"/>
      </w:pPr>
      <w:r w:rsidRPr="007207C1">
        <w:t>Differential Privacy adds noise to protect data, which degrades the quality of explanations.</w:t>
      </w:r>
    </w:p>
    <w:p w14:paraId="44C4939F" w14:textId="77777777" w:rsidR="007207C1" w:rsidRPr="007207C1" w:rsidRDefault="007207C1" w:rsidP="007207C1">
      <w:pPr>
        <w:numPr>
          <w:ilvl w:val="1"/>
          <w:numId w:val="5"/>
        </w:numPr>
        <w:jc w:val="left"/>
      </w:pPr>
      <w:r w:rsidRPr="007207C1">
        <w:t>There is no standardized framework for balancing privacy budgets with explanation fidelity.</w:t>
      </w:r>
    </w:p>
    <w:p w14:paraId="44601E31" w14:textId="77777777" w:rsidR="007207C1" w:rsidRPr="007207C1" w:rsidRDefault="007207C1" w:rsidP="007207C1">
      <w:pPr>
        <w:numPr>
          <w:ilvl w:val="0"/>
          <w:numId w:val="5"/>
        </w:numPr>
        <w:jc w:val="left"/>
      </w:pPr>
      <w:r w:rsidRPr="007207C1">
        <w:rPr>
          <w:b/>
          <w:bCs/>
        </w:rPr>
        <w:t>Resource Constraints in Healthcare Settings:</w:t>
      </w:r>
    </w:p>
    <w:p w14:paraId="36731910" w14:textId="77777777" w:rsidR="007207C1" w:rsidRPr="007207C1" w:rsidRDefault="007207C1" w:rsidP="007207C1">
      <w:pPr>
        <w:numPr>
          <w:ilvl w:val="1"/>
          <w:numId w:val="5"/>
        </w:numPr>
        <w:jc w:val="left"/>
      </w:pPr>
      <w:r w:rsidRPr="007207C1">
        <w:t>FL assumes powerful centralized servers, but many hospitals and clinics operate with limited computational resources.</w:t>
      </w:r>
    </w:p>
    <w:p w14:paraId="78955DCA" w14:textId="77777777" w:rsidR="007207C1" w:rsidRPr="007207C1" w:rsidRDefault="007207C1" w:rsidP="007207C1">
      <w:pPr>
        <w:numPr>
          <w:ilvl w:val="1"/>
          <w:numId w:val="5"/>
        </w:numPr>
        <w:jc w:val="left"/>
      </w:pPr>
      <w:r w:rsidRPr="007207C1">
        <w:t>Lightweight XAI methods are underdeveloped for edge devices.</w:t>
      </w:r>
    </w:p>
    <w:p w14:paraId="153C0C91" w14:textId="77777777" w:rsidR="007207C1" w:rsidRPr="007207C1" w:rsidRDefault="007207C1" w:rsidP="007207C1">
      <w:pPr>
        <w:numPr>
          <w:ilvl w:val="0"/>
          <w:numId w:val="5"/>
        </w:numPr>
        <w:jc w:val="left"/>
      </w:pPr>
      <w:r w:rsidRPr="007207C1">
        <w:rPr>
          <w:b/>
          <w:bCs/>
        </w:rPr>
        <w:lastRenderedPageBreak/>
        <w:t>Lack of Standardized Evaluation Metrics:</w:t>
      </w:r>
    </w:p>
    <w:p w14:paraId="3BBAC5A8" w14:textId="77777777" w:rsidR="007207C1" w:rsidRPr="007207C1" w:rsidRDefault="007207C1" w:rsidP="007207C1">
      <w:pPr>
        <w:numPr>
          <w:ilvl w:val="1"/>
          <w:numId w:val="5"/>
        </w:numPr>
        <w:jc w:val="left"/>
      </w:pPr>
      <w:r w:rsidRPr="007207C1">
        <w:t>No unified benchmarks exist for evaluating FL + XAI systems in healthcare.</w:t>
      </w:r>
    </w:p>
    <w:p w14:paraId="073D939A" w14:textId="77777777" w:rsidR="007207C1" w:rsidRPr="007207C1" w:rsidRDefault="007207C1" w:rsidP="007207C1">
      <w:pPr>
        <w:numPr>
          <w:ilvl w:val="1"/>
          <w:numId w:val="5"/>
        </w:numPr>
        <w:jc w:val="left"/>
      </w:pPr>
      <w:r w:rsidRPr="007207C1">
        <w:t>This makes it difficult to compare different approaches or replicate studies.</w:t>
      </w:r>
    </w:p>
    <w:p w14:paraId="60543F0E" w14:textId="77777777" w:rsidR="007207C1" w:rsidRPr="007207C1" w:rsidRDefault="007207C1" w:rsidP="007207C1">
      <w:pPr>
        <w:jc w:val="left"/>
      </w:pPr>
      <w:r w:rsidRPr="007207C1">
        <w:rPr>
          <w:b/>
          <w:bCs/>
        </w:rPr>
        <w:t>Sources:</w:t>
      </w:r>
      <w:r w:rsidRPr="007207C1">
        <w:t xml:space="preserve"> Baker &amp; Xiang (2023), Hasanzadeh et al. (2025), </w:t>
      </w:r>
      <w:proofErr w:type="spellStart"/>
      <w:r w:rsidRPr="007207C1">
        <w:t>Polevikov</w:t>
      </w:r>
      <w:proofErr w:type="spellEnd"/>
      <w:r w:rsidRPr="007207C1">
        <w:t xml:space="preserve"> (2023), Ao et al. (2026)</w:t>
      </w:r>
    </w:p>
    <w:p w14:paraId="2634ADB0" w14:textId="77777777" w:rsidR="007207C1" w:rsidRPr="007207C1" w:rsidRDefault="007207C1" w:rsidP="007207C1">
      <w:pPr>
        <w:jc w:val="left"/>
        <w:rPr>
          <w:b/>
          <w:bCs/>
        </w:rPr>
      </w:pPr>
      <w:r w:rsidRPr="007207C1">
        <w:rPr>
          <w:b/>
          <w:bCs/>
        </w:rPr>
        <w:t>IV. Proposed Direction</w:t>
      </w:r>
    </w:p>
    <w:p w14:paraId="4DF80B6F" w14:textId="77777777" w:rsidR="007207C1" w:rsidRPr="007207C1" w:rsidRDefault="007207C1" w:rsidP="007207C1">
      <w:pPr>
        <w:jc w:val="left"/>
      </w:pPr>
      <w:r w:rsidRPr="007207C1">
        <w:t>Based on the identified gaps, this research proposes a </w:t>
      </w:r>
      <w:r w:rsidRPr="007207C1">
        <w:rPr>
          <w:b/>
          <w:bCs/>
        </w:rPr>
        <w:t>Hybrid Framework</w:t>
      </w:r>
      <w:r w:rsidRPr="007207C1">
        <w:t> that combines Federated Learning with Lightweight Explainable AI for privacy-preserving disease detection.</w:t>
      </w:r>
    </w:p>
    <w:p w14:paraId="3FDB7AA4" w14:textId="77777777" w:rsidR="007207C1" w:rsidRPr="007207C1" w:rsidRDefault="007207C1" w:rsidP="007207C1">
      <w:pPr>
        <w:jc w:val="left"/>
      </w:pPr>
      <w:r w:rsidRPr="007207C1">
        <w:rPr>
          <w:b/>
          <w:bCs/>
        </w:rPr>
        <w:t>Proposed Framework Components:</w:t>
      </w:r>
    </w:p>
    <w:tbl>
      <w:tblPr>
        <w:tblW w:w="11280" w:type="dxa"/>
        <w:tblCellMar>
          <w:top w:w="15" w:type="dxa"/>
          <w:left w:w="15" w:type="dxa"/>
          <w:bottom w:w="15" w:type="dxa"/>
          <w:right w:w="15" w:type="dxa"/>
        </w:tblCellMar>
        <w:tblLook w:val="04A0" w:firstRow="1" w:lastRow="0" w:firstColumn="1" w:lastColumn="0" w:noHBand="0" w:noVBand="1"/>
      </w:tblPr>
      <w:tblGrid>
        <w:gridCol w:w="1709"/>
        <w:gridCol w:w="3202"/>
        <w:gridCol w:w="6369"/>
      </w:tblGrid>
      <w:tr w:rsidR="007207C1" w:rsidRPr="007207C1" w14:paraId="06173431" w14:textId="77777777" w:rsidTr="007207C1">
        <w:trPr>
          <w:tblHeader/>
        </w:trPr>
        <w:tc>
          <w:tcPr>
            <w:tcW w:w="0" w:type="auto"/>
            <w:tcBorders>
              <w:top w:val="nil"/>
            </w:tcBorders>
            <w:tcMar>
              <w:top w:w="150" w:type="dxa"/>
              <w:left w:w="0" w:type="dxa"/>
              <w:bottom w:w="150" w:type="dxa"/>
              <w:right w:w="240" w:type="dxa"/>
            </w:tcMar>
            <w:vAlign w:val="center"/>
            <w:hideMark/>
          </w:tcPr>
          <w:p w14:paraId="679133B8" w14:textId="77777777" w:rsidR="007207C1" w:rsidRPr="007207C1" w:rsidRDefault="007207C1" w:rsidP="007207C1">
            <w:pPr>
              <w:jc w:val="left"/>
              <w:rPr>
                <w:color w:val="auto"/>
              </w:rPr>
            </w:pPr>
            <w:r w:rsidRPr="007207C1">
              <w:rPr>
                <w:color w:val="auto"/>
              </w:rPr>
              <w:t>Phase</w:t>
            </w:r>
          </w:p>
        </w:tc>
        <w:tc>
          <w:tcPr>
            <w:tcW w:w="0" w:type="auto"/>
            <w:tcBorders>
              <w:top w:val="nil"/>
            </w:tcBorders>
            <w:tcMar>
              <w:top w:w="150" w:type="dxa"/>
              <w:left w:w="240" w:type="dxa"/>
              <w:bottom w:w="150" w:type="dxa"/>
              <w:right w:w="240" w:type="dxa"/>
            </w:tcMar>
            <w:vAlign w:val="center"/>
            <w:hideMark/>
          </w:tcPr>
          <w:p w14:paraId="487A0C8F" w14:textId="77777777" w:rsidR="007207C1" w:rsidRPr="007207C1" w:rsidRDefault="007207C1" w:rsidP="007207C1">
            <w:pPr>
              <w:jc w:val="left"/>
              <w:rPr>
                <w:color w:val="auto"/>
              </w:rPr>
            </w:pPr>
            <w:r w:rsidRPr="007207C1">
              <w:rPr>
                <w:color w:val="auto"/>
              </w:rPr>
              <w:t>Component</w:t>
            </w:r>
          </w:p>
        </w:tc>
        <w:tc>
          <w:tcPr>
            <w:tcW w:w="0" w:type="auto"/>
            <w:tcBorders>
              <w:top w:val="nil"/>
            </w:tcBorders>
            <w:tcMar>
              <w:top w:w="150" w:type="dxa"/>
              <w:left w:w="240" w:type="dxa"/>
              <w:bottom w:w="150" w:type="dxa"/>
              <w:right w:w="240" w:type="dxa"/>
            </w:tcMar>
            <w:vAlign w:val="center"/>
            <w:hideMark/>
          </w:tcPr>
          <w:p w14:paraId="0D40B2C7" w14:textId="77777777" w:rsidR="007207C1" w:rsidRPr="007207C1" w:rsidRDefault="007207C1" w:rsidP="007207C1">
            <w:pPr>
              <w:jc w:val="left"/>
              <w:rPr>
                <w:color w:val="auto"/>
              </w:rPr>
            </w:pPr>
            <w:r w:rsidRPr="007207C1">
              <w:rPr>
                <w:color w:val="auto"/>
              </w:rPr>
              <w:t>Description</w:t>
            </w:r>
          </w:p>
        </w:tc>
      </w:tr>
      <w:tr w:rsidR="007207C1" w:rsidRPr="007207C1" w14:paraId="47AC344D" w14:textId="77777777" w:rsidTr="007207C1">
        <w:tc>
          <w:tcPr>
            <w:tcW w:w="0" w:type="auto"/>
            <w:tcMar>
              <w:top w:w="150" w:type="dxa"/>
              <w:left w:w="0" w:type="dxa"/>
              <w:bottom w:w="150" w:type="dxa"/>
              <w:right w:w="240" w:type="dxa"/>
            </w:tcMar>
            <w:vAlign w:val="center"/>
            <w:hideMark/>
          </w:tcPr>
          <w:p w14:paraId="433A029C" w14:textId="77777777" w:rsidR="007207C1" w:rsidRPr="007207C1" w:rsidRDefault="007207C1" w:rsidP="007207C1">
            <w:pPr>
              <w:jc w:val="left"/>
              <w:rPr>
                <w:color w:val="auto"/>
              </w:rPr>
            </w:pPr>
            <w:r w:rsidRPr="007207C1">
              <w:rPr>
                <w:b/>
                <w:bCs/>
                <w:color w:val="auto"/>
              </w:rPr>
              <w:t>Phase 1</w:t>
            </w:r>
          </w:p>
        </w:tc>
        <w:tc>
          <w:tcPr>
            <w:tcW w:w="0" w:type="auto"/>
            <w:tcMar>
              <w:top w:w="150" w:type="dxa"/>
              <w:left w:w="240" w:type="dxa"/>
              <w:bottom w:w="150" w:type="dxa"/>
              <w:right w:w="240" w:type="dxa"/>
            </w:tcMar>
            <w:vAlign w:val="center"/>
            <w:hideMark/>
          </w:tcPr>
          <w:p w14:paraId="2382E71A" w14:textId="77777777" w:rsidR="007207C1" w:rsidRPr="007207C1" w:rsidRDefault="007207C1" w:rsidP="007207C1">
            <w:pPr>
              <w:jc w:val="left"/>
              <w:rPr>
                <w:color w:val="auto"/>
              </w:rPr>
            </w:pPr>
            <w:r w:rsidRPr="007207C1">
              <w:rPr>
                <w:color w:val="auto"/>
              </w:rPr>
              <w:t>Federated Learning Setup</w:t>
            </w:r>
          </w:p>
        </w:tc>
        <w:tc>
          <w:tcPr>
            <w:tcW w:w="0" w:type="auto"/>
            <w:tcMar>
              <w:top w:w="150" w:type="dxa"/>
              <w:left w:w="240" w:type="dxa"/>
              <w:bottom w:w="150" w:type="dxa"/>
              <w:right w:w="0" w:type="dxa"/>
            </w:tcMar>
            <w:vAlign w:val="center"/>
            <w:hideMark/>
          </w:tcPr>
          <w:p w14:paraId="6FE88E69" w14:textId="77777777" w:rsidR="007207C1" w:rsidRPr="007207C1" w:rsidRDefault="007207C1" w:rsidP="007207C1">
            <w:pPr>
              <w:jc w:val="left"/>
              <w:rPr>
                <w:color w:val="auto"/>
              </w:rPr>
            </w:pPr>
            <w:r w:rsidRPr="007207C1">
              <w:rPr>
                <w:color w:val="auto"/>
              </w:rPr>
              <w:t>Local training at each hospital; secure aggregation; no raw data sharing</w:t>
            </w:r>
          </w:p>
        </w:tc>
      </w:tr>
      <w:tr w:rsidR="007207C1" w:rsidRPr="007207C1" w14:paraId="6D6C9DCB" w14:textId="77777777" w:rsidTr="007207C1">
        <w:tc>
          <w:tcPr>
            <w:tcW w:w="0" w:type="auto"/>
            <w:tcMar>
              <w:top w:w="150" w:type="dxa"/>
              <w:left w:w="0" w:type="dxa"/>
              <w:bottom w:w="150" w:type="dxa"/>
              <w:right w:w="240" w:type="dxa"/>
            </w:tcMar>
            <w:vAlign w:val="center"/>
            <w:hideMark/>
          </w:tcPr>
          <w:p w14:paraId="345F4604" w14:textId="77777777" w:rsidR="007207C1" w:rsidRPr="007207C1" w:rsidRDefault="007207C1" w:rsidP="007207C1">
            <w:pPr>
              <w:jc w:val="left"/>
              <w:rPr>
                <w:color w:val="auto"/>
              </w:rPr>
            </w:pPr>
            <w:r w:rsidRPr="007207C1">
              <w:rPr>
                <w:b/>
                <w:bCs/>
                <w:color w:val="auto"/>
              </w:rPr>
              <w:t>Phase 2</w:t>
            </w:r>
          </w:p>
        </w:tc>
        <w:tc>
          <w:tcPr>
            <w:tcW w:w="0" w:type="auto"/>
            <w:tcMar>
              <w:top w:w="150" w:type="dxa"/>
              <w:left w:w="240" w:type="dxa"/>
              <w:bottom w:w="150" w:type="dxa"/>
              <w:right w:w="240" w:type="dxa"/>
            </w:tcMar>
            <w:vAlign w:val="center"/>
            <w:hideMark/>
          </w:tcPr>
          <w:p w14:paraId="460DCB57" w14:textId="77777777" w:rsidR="007207C1" w:rsidRPr="007207C1" w:rsidRDefault="007207C1" w:rsidP="007207C1">
            <w:pPr>
              <w:jc w:val="left"/>
              <w:rPr>
                <w:color w:val="auto"/>
              </w:rPr>
            </w:pPr>
            <w:r w:rsidRPr="007207C1">
              <w:rPr>
                <w:color w:val="auto"/>
              </w:rPr>
              <w:t>Lightweight XAI Integration</w:t>
            </w:r>
          </w:p>
        </w:tc>
        <w:tc>
          <w:tcPr>
            <w:tcW w:w="0" w:type="auto"/>
            <w:tcMar>
              <w:top w:w="150" w:type="dxa"/>
              <w:left w:w="240" w:type="dxa"/>
              <w:bottom w:w="150" w:type="dxa"/>
              <w:right w:w="0" w:type="dxa"/>
            </w:tcMar>
            <w:vAlign w:val="center"/>
            <w:hideMark/>
          </w:tcPr>
          <w:p w14:paraId="1A3E91D0" w14:textId="77777777" w:rsidR="007207C1" w:rsidRPr="007207C1" w:rsidRDefault="007207C1" w:rsidP="007207C1">
            <w:pPr>
              <w:jc w:val="left"/>
              <w:rPr>
                <w:color w:val="auto"/>
              </w:rPr>
            </w:pPr>
            <w:r w:rsidRPr="007207C1">
              <w:rPr>
                <w:color w:val="auto"/>
              </w:rPr>
              <w:t>Use Grad-CAM for imaging (low cost); SHAP approximations for tabular data</w:t>
            </w:r>
          </w:p>
        </w:tc>
      </w:tr>
      <w:tr w:rsidR="007207C1" w:rsidRPr="007207C1" w14:paraId="29BB5514" w14:textId="77777777" w:rsidTr="007207C1">
        <w:tc>
          <w:tcPr>
            <w:tcW w:w="0" w:type="auto"/>
            <w:tcMar>
              <w:top w:w="150" w:type="dxa"/>
              <w:left w:w="0" w:type="dxa"/>
              <w:bottom w:w="150" w:type="dxa"/>
              <w:right w:w="240" w:type="dxa"/>
            </w:tcMar>
            <w:vAlign w:val="center"/>
            <w:hideMark/>
          </w:tcPr>
          <w:p w14:paraId="7AEE6EA7" w14:textId="77777777" w:rsidR="007207C1" w:rsidRPr="007207C1" w:rsidRDefault="007207C1" w:rsidP="007207C1">
            <w:pPr>
              <w:jc w:val="left"/>
              <w:rPr>
                <w:color w:val="auto"/>
              </w:rPr>
            </w:pPr>
            <w:r w:rsidRPr="007207C1">
              <w:rPr>
                <w:b/>
                <w:bCs/>
                <w:color w:val="auto"/>
              </w:rPr>
              <w:t>Phase 3</w:t>
            </w:r>
          </w:p>
        </w:tc>
        <w:tc>
          <w:tcPr>
            <w:tcW w:w="0" w:type="auto"/>
            <w:tcMar>
              <w:top w:w="150" w:type="dxa"/>
              <w:left w:w="240" w:type="dxa"/>
              <w:bottom w:w="150" w:type="dxa"/>
              <w:right w:w="240" w:type="dxa"/>
            </w:tcMar>
            <w:vAlign w:val="center"/>
            <w:hideMark/>
          </w:tcPr>
          <w:p w14:paraId="2817EAE4" w14:textId="77777777" w:rsidR="007207C1" w:rsidRPr="007207C1" w:rsidRDefault="007207C1" w:rsidP="007207C1">
            <w:pPr>
              <w:jc w:val="left"/>
              <w:rPr>
                <w:color w:val="auto"/>
              </w:rPr>
            </w:pPr>
            <w:r w:rsidRPr="007207C1">
              <w:rPr>
                <w:color w:val="auto"/>
              </w:rPr>
              <w:t>Evaluation Framework</w:t>
            </w:r>
          </w:p>
        </w:tc>
        <w:tc>
          <w:tcPr>
            <w:tcW w:w="0" w:type="auto"/>
            <w:tcMar>
              <w:top w:w="150" w:type="dxa"/>
              <w:left w:w="240" w:type="dxa"/>
              <w:bottom w:w="150" w:type="dxa"/>
              <w:right w:w="0" w:type="dxa"/>
            </w:tcMar>
            <w:vAlign w:val="center"/>
            <w:hideMark/>
          </w:tcPr>
          <w:p w14:paraId="389AE7CC" w14:textId="77777777" w:rsidR="007207C1" w:rsidRPr="007207C1" w:rsidRDefault="007207C1" w:rsidP="007207C1">
            <w:pPr>
              <w:jc w:val="left"/>
              <w:rPr>
                <w:color w:val="auto"/>
              </w:rPr>
            </w:pPr>
            <w:r w:rsidRPr="007207C1">
              <w:rPr>
                <w:color w:val="auto"/>
              </w:rPr>
              <w:t>Measure accuracy, privacy budget (ε), explainability (clinician trust score), and efficiency (latency)</w:t>
            </w:r>
          </w:p>
        </w:tc>
      </w:tr>
    </w:tbl>
    <w:p w14:paraId="70F16FCF" w14:textId="77777777" w:rsidR="00120374" w:rsidRDefault="00120374" w:rsidP="007207C1">
      <w:pPr>
        <w:jc w:val="left"/>
        <w:rPr>
          <w:b/>
          <w:bCs/>
        </w:rPr>
      </w:pPr>
    </w:p>
    <w:p w14:paraId="0BE3ADA4" w14:textId="35B4B786" w:rsidR="007207C1" w:rsidRPr="007207C1" w:rsidRDefault="007207C1" w:rsidP="007207C1">
      <w:pPr>
        <w:jc w:val="left"/>
      </w:pPr>
      <w:r w:rsidRPr="007207C1">
        <w:rPr>
          <w:b/>
          <w:bCs/>
        </w:rPr>
        <w:lastRenderedPageBreak/>
        <w:t>Novelty of the Proposed Approach:</w:t>
      </w:r>
    </w:p>
    <w:p w14:paraId="38893363" w14:textId="77777777" w:rsidR="007207C1" w:rsidRPr="007207C1" w:rsidRDefault="007207C1" w:rsidP="007207C1">
      <w:pPr>
        <w:numPr>
          <w:ilvl w:val="0"/>
          <w:numId w:val="6"/>
        </w:numPr>
        <w:jc w:val="left"/>
      </w:pPr>
      <w:r w:rsidRPr="007207C1">
        <w:t>Integrates explainability directly into the FL pipeline (not post-hoc).</w:t>
      </w:r>
    </w:p>
    <w:p w14:paraId="02852965" w14:textId="77777777" w:rsidR="007207C1" w:rsidRPr="007207C1" w:rsidRDefault="007207C1" w:rsidP="007207C1">
      <w:pPr>
        <w:numPr>
          <w:ilvl w:val="0"/>
          <w:numId w:val="6"/>
        </w:numPr>
        <w:jc w:val="left"/>
      </w:pPr>
      <w:proofErr w:type="gramStart"/>
      <w:r w:rsidRPr="007207C1">
        <w:t>Uses</w:t>
      </w:r>
      <w:proofErr w:type="gramEnd"/>
      <w:r w:rsidRPr="007207C1">
        <w:t xml:space="preserve"> computationally efficient XAI methods suitable for resource-constrained environments.</w:t>
      </w:r>
    </w:p>
    <w:p w14:paraId="4991C5A8" w14:textId="77777777" w:rsidR="007207C1" w:rsidRPr="007207C1" w:rsidRDefault="007207C1" w:rsidP="007207C1">
      <w:pPr>
        <w:numPr>
          <w:ilvl w:val="0"/>
          <w:numId w:val="6"/>
        </w:numPr>
        <w:jc w:val="left"/>
      </w:pPr>
      <w:r w:rsidRPr="007207C1">
        <w:t>Provides a unified evaluation framework covering accuracy, privacy, explainability, and efficiency.</w:t>
      </w:r>
    </w:p>
    <w:p w14:paraId="7858A030" w14:textId="77777777" w:rsidR="007207C1" w:rsidRPr="007207C1" w:rsidRDefault="007207C1" w:rsidP="007207C1">
      <w:pPr>
        <w:jc w:val="left"/>
      </w:pPr>
      <w:r w:rsidRPr="007207C1">
        <w:t>This hybrid approach aims to bridge the gap between technical performance and clinical actionability, enabling trustworthy AI deployment in real-world healthcare settings.</w:t>
      </w:r>
    </w:p>
    <w:p w14:paraId="7B064054" w14:textId="77777777" w:rsidR="007207C1" w:rsidRPr="007207C1" w:rsidRDefault="007207C1" w:rsidP="007207C1">
      <w:pPr>
        <w:jc w:val="left"/>
      </w:pPr>
      <w:r w:rsidRPr="007207C1">
        <w:rPr>
          <w:b/>
          <w:bCs/>
        </w:rPr>
        <w:t>Sources:</w:t>
      </w:r>
      <w:r w:rsidRPr="007207C1">
        <w:t xml:space="preserve"> Saraswat et al. (2022), </w:t>
      </w:r>
      <w:proofErr w:type="spellStart"/>
      <w:r w:rsidRPr="007207C1">
        <w:t>Chaddad</w:t>
      </w:r>
      <w:proofErr w:type="spellEnd"/>
      <w:r w:rsidRPr="007207C1">
        <w:t xml:space="preserve"> et al. (2023), Hasanzadeh et al. (2025)</w:t>
      </w:r>
    </w:p>
    <w:p w14:paraId="321302DB" w14:textId="77777777" w:rsidR="007207C1" w:rsidRPr="007207C1" w:rsidRDefault="007207C1" w:rsidP="007207C1">
      <w:pPr>
        <w:jc w:val="left"/>
        <w:rPr>
          <w:b/>
          <w:bCs/>
        </w:rPr>
      </w:pPr>
      <w:r w:rsidRPr="007207C1">
        <w:rPr>
          <w:b/>
          <w:bCs/>
        </w:rPr>
        <w:t>V. Bibliography</w:t>
      </w:r>
    </w:p>
    <w:p w14:paraId="1E616480" w14:textId="77777777" w:rsidR="007207C1" w:rsidRPr="007207C1" w:rsidRDefault="007207C1" w:rsidP="007207C1">
      <w:pPr>
        <w:jc w:val="left"/>
      </w:pPr>
      <w:r w:rsidRPr="007207C1">
        <w:t>[1] S. Baker and W. Xiang, "Artificial Intelligence of Things for Smarter Healthcare: A Survey of Advancements, Challenges, and Opportunities," </w:t>
      </w:r>
      <w:r w:rsidRPr="007207C1">
        <w:rPr>
          <w:i/>
          <w:iCs/>
        </w:rPr>
        <w:t>IEEE Communications Surveys &amp; Tutorials</w:t>
      </w:r>
      <w:r w:rsidRPr="007207C1">
        <w:t>, vol. 25, no. 2, pp. 1261-1293, 2023.</w:t>
      </w:r>
    </w:p>
    <w:p w14:paraId="19594D48" w14:textId="77777777" w:rsidR="007207C1" w:rsidRPr="007207C1" w:rsidRDefault="007207C1" w:rsidP="007207C1">
      <w:pPr>
        <w:jc w:val="left"/>
      </w:pPr>
      <w:r w:rsidRPr="007207C1">
        <w:t>[2] D. Saraswat et al., "Explainable AI for Healthcare 5.0: Opportunities and Challenges," </w:t>
      </w:r>
      <w:r w:rsidRPr="007207C1">
        <w:rPr>
          <w:i/>
          <w:iCs/>
        </w:rPr>
        <w:t>IEEE Access</w:t>
      </w:r>
      <w:r w:rsidRPr="007207C1">
        <w:t>, vol. 10, pp. 84486-84517, 2022.</w:t>
      </w:r>
    </w:p>
    <w:p w14:paraId="11F68146" w14:textId="77777777" w:rsidR="007207C1" w:rsidRPr="007207C1" w:rsidRDefault="007207C1" w:rsidP="007207C1">
      <w:pPr>
        <w:jc w:val="left"/>
      </w:pPr>
      <w:r w:rsidRPr="007207C1">
        <w:t>[3] F. Hasanzadeh et al., "Bias recognition and mitigation strategies in artificial intelligence healthcare applications," </w:t>
      </w:r>
      <w:proofErr w:type="spellStart"/>
      <w:r w:rsidRPr="007207C1">
        <w:rPr>
          <w:i/>
          <w:iCs/>
        </w:rPr>
        <w:t>npj</w:t>
      </w:r>
      <w:proofErr w:type="spellEnd"/>
      <w:r w:rsidRPr="007207C1">
        <w:rPr>
          <w:i/>
          <w:iCs/>
        </w:rPr>
        <w:t xml:space="preserve"> Digital Medicine</w:t>
      </w:r>
      <w:r w:rsidRPr="007207C1">
        <w:t>, vol. 8, p. 154, 2025.</w:t>
      </w:r>
    </w:p>
    <w:p w14:paraId="38CA2429" w14:textId="77777777" w:rsidR="007207C1" w:rsidRPr="007207C1" w:rsidRDefault="007207C1" w:rsidP="007207C1">
      <w:pPr>
        <w:jc w:val="left"/>
      </w:pPr>
      <w:r w:rsidRPr="007207C1">
        <w:t>[4] S. I. Ao et al., "Recent Advances in AI and GenAI for Health Informatics," </w:t>
      </w:r>
      <w:r w:rsidRPr="007207C1">
        <w:rPr>
          <w:i/>
          <w:iCs/>
        </w:rPr>
        <w:t>Healthcare</w:t>
      </w:r>
      <w:r w:rsidRPr="007207C1">
        <w:t>, vol. 14, no. 4, p. 495, 2026.</w:t>
      </w:r>
    </w:p>
    <w:p w14:paraId="3DDA088B" w14:textId="77777777" w:rsidR="007207C1" w:rsidRPr="007207C1" w:rsidRDefault="007207C1" w:rsidP="007207C1">
      <w:pPr>
        <w:jc w:val="left"/>
      </w:pPr>
      <w:r w:rsidRPr="007207C1">
        <w:t xml:space="preserve">[5] A. </w:t>
      </w:r>
      <w:proofErr w:type="spellStart"/>
      <w:r w:rsidRPr="007207C1">
        <w:t>Chaddad</w:t>
      </w:r>
      <w:proofErr w:type="spellEnd"/>
      <w:r w:rsidRPr="007207C1">
        <w:t xml:space="preserve">, J. Peng, J. Xu, and A. </w:t>
      </w:r>
      <w:proofErr w:type="spellStart"/>
      <w:r w:rsidRPr="007207C1">
        <w:t>Bouridane</w:t>
      </w:r>
      <w:proofErr w:type="spellEnd"/>
      <w:r w:rsidRPr="007207C1">
        <w:t>, "Survey of Explainable AI Techniques in Healthcare," </w:t>
      </w:r>
      <w:r w:rsidRPr="007207C1">
        <w:rPr>
          <w:i/>
          <w:iCs/>
        </w:rPr>
        <w:t>Sensors</w:t>
      </w:r>
      <w:r w:rsidRPr="007207C1">
        <w:t>, vol. 23, no. 2, p. 634, 2023.</w:t>
      </w:r>
    </w:p>
    <w:p w14:paraId="7086998E" w14:textId="77777777" w:rsidR="007207C1" w:rsidRPr="007207C1" w:rsidRDefault="007207C1" w:rsidP="007207C1">
      <w:pPr>
        <w:jc w:val="left"/>
      </w:pPr>
      <w:r w:rsidRPr="007207C1">
        <w:t>[6] S. Polevikov, "Advancing AI in healthcare: A comprehensive review of best practices," </w:t>
      </w:r>
      <w:r w:rsidRPr="007207C1">
        <w:rPr>
          <w:i/>
          <w:iCs/>
        </w:rPr>
        <w:t>Clinica Chimica Acta</w:t>
      </w:r>
      <w:r w:rsidRPr="007207C1">
        <w:t>, vol. 548, p. 117519, 2023.</w:t>
      </w:r>
    </w:p>
    <w:p w14:paraId="76BDCD5A" w14:textId="77777777" w:rsidR="007207C1" w:rsidRPr="007207C1" w:rsidRDefault="007207C1" w:rsidP="007207C1">
      <w:pPr>
        <w:jc w:val="left"/>
      </w:pPr>
      <w:r w:rsidRPr="007207C1">
        <w:lastRenderedPageBreak/>
        <w:t>[7] M. Nair, P. Svedberg, I. Larsson, and J. M. Nygren, "A comprehensive overview of barriers and strategies for AI implementation in healthcare: Mixed-method design," </w:t>
      </w:r>
      <w:r w:rsidRPr="007207C1">
        <w:rPr>
          <w:i/>
          <w:iCs/>
        </w:rPr>
        <w:t>PLOS ONE</w:t>
      </w:r>
      <w:r w:rsidRPr="007207C1">
        <w:t>, vol. 19, no. 8, p. e0305949, 2024.</w:t>
      </w:r>
    </w:p>
    <w:p w14:paraId="60FB53D8" w14:textId="77777777" w:rsidR="007207C1" w:rsidRPr="007207C1" w:rsidRDefault="007207C1" w:rsidP="00D7097D">
      <w:pPr>
        <w:jc w:val="left"/>
      </w:pPr>
    </w:p>
    <w:sectPr w:rsidR="007207C1" w:rsidRPr="007207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111DFB"/>
    <w:multiLevelType w:val="multilevel"/>
    <w:tmpl w:val="B1C0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C04A7B"/>
    <w:multiLevelType w:val="multilevel"/>
    <w:tmpl w:val="2DE87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9523BB8"/>
    <w:multiLevelType w:val="multilevel"/>
    <w:tmpl w:val="9D0A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B03866"/>
    <w:multiLevelType w:val="multilevel"/>
    <w:tmpl w:val="C0D2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6B6BDC"/>
    <w:multiLevelType w:val="multilevel"/>
    <w:tmpl w:val="367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387C58"/>
    <w:multiLevelType w:val="multilevel"/>
    <w:tmpl w:val="110C6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9347485">
    <w:abstractNumId w:val="4"/>
  </w:num>
  <w:num w:numId="2" w16cid:durableId="1131676717">
    <w:abstractNumId w:val="1"/>
  </w:num>
  <w:num w:numId="3" w16cid:durableId="1566255966">
    <w:abstractNumId w:val="0"/>
  </w:num>
  <w:num w:numId="4" w16cid:durableId="1143044740">
    <w:abstractNumId w:val="2"/>
  </w:num>
  <w:num w:numId="5" w16cid:durableId="1342243411">
    <w:abstractNumId w:val="5"/>
  </w:num>
  <w:num w:numId="6" w16cid:durableId="866481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C22"/>
    <w:rsid w:val="0003679C"/>
    <w:rsid w:val="00120374"/>
    <w:rsid w:val="002001B8"/>
    <w:rsid w:val="00204C22"/>
    <w:rsid w:val="00534BA8"/>
    <w:rsid w:val="007207C1"/>
    <w:rsid w:val="007340D4"/>
    <w:rsid w:val="007D6916"/>
    <w:rsid w:val="00930D24"/>
    <w:rsid w:val="00B74A6F"/>
    <w:rsid w:val="00D7097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4D33"/>
  <w15:chartTrackingRefBased/>
  <w15:docId w15:val="{53818F59-9369-4DDC-838A-DB194CC0C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4BA8"/>
    <w:pPr>
      <w:spacing w:after="274" w:line="365" w:lineRule="auto"/>
      <w:ind w:left="10" w:right="783" w:hanging="10"/>
      <w:jc w:val="both"/>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204C22"/>
    <w:pPr>
      <w:keepNext/>
      <w:keepLines/>
      <w:spacing w:before="360" w:after="80" w:line="278" w:lineRule="auto"/>
      <w:ind w:left="0" w:right="0" w:firstLine="0"/>
      <w:jc w:val="left"/>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04C22"/>
    <w:pPr>
      <w:keepNext/>
      <w:keepLines/>
      <w:spacing w:before="160" w:after="80" w:line="278" w:lineRule="auto"/>
      <w:ind w:left="0" w:right="0" w:firstLine="0"/>
      <w:jc w:val="left"/>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04C22"/>
    <w:pPr>
      <w:keepNext/>
      <w:keepLines/>
      <w:spacing w:before="160" w:after="80" w:line="278" w:lineRule="auto"/>
      <w:ind w:left="0" w:right="0" w:firstLine="0"/>
      <w:jc w:val="left"/>
      <w:outlineLvl w:val="2"/>
    </w:pPr>
    <w:rPr>
      <w:rFonts w:asciiTheme="minorHAnsi" w:eastAsiaTheme="majorEastAsia" w:hAnsiTheme="minorHAnsi"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04C22"/>
    <w:pPr>
      <w:keepNext/>
      <w:keepLines/>
      <w:spacing w:before="80" w:after="40" w:line="278" w:lineRule="auto"/>
      <w:ind w:left="0" w:right="0" w:firstLine="0"/>
      <w:jc w:val="left"/>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4C22"/>
    <w:pPr>
      <w:keepNext/>
      <w:keepLines/>
      <w:spacing w:before="80" w:after="40" w:line="278" w:lineRule="auto"/>
      <w:ind w:left="0" w:right="0" w:firstLine="0"/>
      <w:jc w:val="left"/>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4C22"/>
    <w:pPr>
      <w:keepNext/>
      <w:keepLines/>
      <w:spacing w:before="40" w:after="0" w:line="278" w:lineRule="auto"/>
      <w:ind w:left="0" w:right="0" w:firstLine="0"/>
      <w:jc w:val="left"/>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4C22"/>
    <w:pPr>
      <w:keepNext/>
      <w:keepLines/>
      <w:spacing w:before="40" w:after="0" w:line="278" w:lineRule="auto"/>
      <w:ind w:left="0" w:right="0" w:firstLine="0"/>
      <w:jc w:val="left"/>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4C22"/>
    <w:pPr>
      <w:keepNext/>
      <w:keepLines/>
      <w:spacing w:after="0" w:line="278" w:lineRule="auto"/>
      <w:ind w:left="0" w:right="0" w:firstLine="0"/>
      <w:jc w:val="left"/>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4C22"/>
    <w:pPr>
      <w:keepNext/>
      <w:keepLines/>
      <w:spacing w:after="0" w:line="278" w:lineRule="auto"/>
      <w:ind w:left="0" w:right="0" w:firstLine="0"/>
      <w:jc w:val="left"/>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4C2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04C2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04C2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04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4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4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4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4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4C22"/>
    <w:rPr>
      <w:rFonts w:eastAsiaTheme="majorEastAsia" w:cstheme="majorBidi"/>
      <w:color w:val="272727" w:themeColor="text1" w:themeTint="D8"/>
    </w:rPr>
  </w:style>
  <w:style w:type="paragraph" w:styleId="Title">
    <w:name w:val="Title"/>
    <w:basedOn w:val="Normal"/>
    <w:next w:val="Normal"/>
    <w:link w:val="TitleChar"/>
    <w:uiPriority w:val="10"/>
    <w:qFormat/>
    <w:rsid w:val="00204C22"/>
    <w:pPr>
      <w:spacing w:after="80" w:line="240" w:lineRule="auto"/>
      <w:ind w:left="0" w:right="0" w:firstLine="0"/>
      <w:contextualSpacing/>
      <w:jc w:val="left"/>
    </w:pPr>
    <w:rPr>
      <w:rFonts w:asciiTheme="majorHAnsi" w:eastAsiaTheme="majorEastAsia" w:hAnsiTheme="majorHAnsi" w:cstheme="majorBidi"/>
      <w:color w:val="auto"/>
      <w:spacing w:val="-10"/>
      <w:kern w:val="28"/>
      <w:sz w:val="56"/>
      <w:szCs w:val="71"/>
    </w:rPr>
  </w:style>
  <w:style w:type="character" w:customStyle="1" w:styleId="TitleChar">
    <w:name w:val="Title Char"/>
    <w:basedOn w:val="DefaultParagraphFont"/>
    <w:link w:val="Title"/>
    <w:uiPriority w:val="10"/>
    <w:rsid w:val="00204C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04C22"/>
    <w:pPr>
      <w:numPr>
        <w:ilvl w:val="1"/>
      </w:numPr>
      <w:spacing w:after="160" w:line="278" w:lineRule="auto"/>
      <w:ind w:left="10" w:right="0" w:hanging="10"/>
      <w:jc w:val="left"/>
    </w:pPr>
    <w:rPr>
      <w:rFonts w:asciiTheme="minorHAnsi" w:eastAsiaTheme="majorEastAsia" w:hAnsiTheme="minorHAnsi"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04C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04C22"/>
    <w:pPr>
      <w:spacing w:before="160" w:after="160" w:line="278" w:lineRule="auto"/>
      <w:ind w:left="0" w:right="0" w:firstLine="0"/>
      <w:jc w:val="center"/>
    </w:pPr>
    <w:rPr>
      <w:rFonts w:asciiTheme="minorHAnsi" w:eastAsia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04C22"/>
    <w:rPr>
      <w:i/>
      <w:iCs/>
      <w:color w:val="404040" w:themeColor="text1" w:themeTint="BF"/>
    </w:rPr>
  </w:style>
  <w:style w:type="paragraph" w:styleId="ListParagraph">
    <w:name w:val="List Paragraph"/>
    <w:basedOn w:val="Normal"/>
    <w:uiPriority w:val="34"/>
    <w:qFormat/>
    <w:rsid w:val="00204C22"/>
    <w:pPr>
      <w:spacing w:after="160" w:line="278" w:lineRule="auto"/>
      <w:ind w:left="720" w:right="0" w:firstLine="0"/>
      <w:contextualSpacing/>
      <w:jc w:val="left"/>
    </w:pPr>
    <w:rPr>
      <w:rFonts w:asciiTheme="minorHAnsi" w:eastAsiaTheme="minorHAnsi" w:hAnsiTheme="minorHAnsi" w:cstheme="minorBidi"/>
      <w:color w:val="auto"/>
    </w:rPr>
  </w:style>
  <w:style w:type="character" w:styleId="IntenseEmphasis">
    <w:name w:val="Intense Emphasis"/>
    <w:basedOn w:val="DefaultParagraphFont"/>
    <w:uiPriority w:val="21"/>
    <w:qFormat/>
    <w:rsid w:val="00204C22"/>
    <w:rPr>
      <w:i/>
      <w:iCs/>
      <w:color w:val="0F4761" w:themeColor="accent1" w:themeShade="BF"/>
    </w:rPr>
  </w:style>
  <w:style w:type="paragraph" w:styleId="IntenseQuote">
    <w:name w:val="Intense Quote"/>
    <w:basedOn w:val="Normal"/>
    <w:next w:val="Normal"/>
    <w:link w:val="IntenseQuoteChar"/>
    <w:uiPriority w:val="30"/>
    <w:qFormat/>
    <w:rsid w:val="00204C22"/>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eastAsia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204C22"/>
    <w:rPr>
      <w:i/>
      <w:iCs/>
      <w:color w:val="0F4761" w:themeColor="accent1" w:themeShade="BF"/>
    </w:rPr>
  </w:style>
  <w:style w:type="character" w:styleId="IntenseReference">
    <w:name w:val="Intense Reference"/>
    <w:basedOn w:val="DefaultParagraphFont"/>
    <w:uiPriority w:val="32"/>
    <w:qFormat/>
    <w:rsid w:val="00204C22"/>
    <w:rPr>
      <w:b/>
      <w:bCs/>
      <w:smallCaps/>
      <w:color w:val="0F4761" w:themeColor="accent1" w:themeShade="BF"/>
      <w:spacing w:val="5"/>
    </w:rPr>
  </w:style>
  <w:style w:type="table" w:customStyle="1" w:styleId="TableGrid">
    <w:name w:val="TableGrid"/>
    <w:rsid w:val="00534BA8"/>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746FE-96BF-4D3B-A4F6-303D9DC338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7</Pages>
  <Words>973</Words>
  <Characters>5547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Abdullah Az Zahur Gias</dc:creator>
  <cp:keywords/>
  <dc:description/>
  <cp:lastModifiedBy>Md. Abdullah Az Zahur Gias</cp:lastModifiedBy>
  <cp:revision>7</cp:revision>
  <dcterms:created xsi:type="dcterms:W3CDTF">2026-07-11T06:15:00Z</dcterms:created>
  <dcterms:modified xsi:type="dcterms:W3CDTF">2026-07-11T10:16:00Z</dcterms:modified>
</cp:coreProperties>
</file>