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t xml:space="preserve">ETHICS AND SOCIAL RESPONSIBILTY</w:t>
      </w:r>
    </w:p>
    <w:p>
      <w:pPr>
        <w:spacing w:after="200"/>
        <w:jc w:val="center"/>
      </w:pPr>
      <w:r>
        <w:t xml:space="preserve">Task Report</w:t>
      </w:r>
    </w:p>
    <w:p>
      <w:pPr>
        <w:spacing w:after="400"/>
        <w:jc w:val="center"/>
      </w:pPr>
      <w:r>
        <w:t xml:space="preserve">Community Relief Initiative: Helping Underprivileged Communities</w:t>
      </w:r>
    </w:p>
    <w:p>
      <w:pPr>
        <w:spacing w:after="200"/>
      </w:pPr>
      <w:r>
        <w:t xml:space="preserve">Group Members:</w:t>
      </w:r>
    </w:p>
    <w:p>
      <w:pPr>
        <w:spacing w:after="100"/>
      </w:pPr>
      <w:r>
        <w:t xml:space="preserve">1. Abdullah Shah Alam
IU04-0123-0462</w:t>
      </w:r>
    </w:p>
    <w:p>
      <w:pPr>
        <w:spacing w:after="100"/>
      </w:pPr>
      <w:r>
        <w:t xml:space="preserve">2. Rabia
IU04-0123-0169</w:t>
      </w:r>
    </w:p>
    <w:p>
      <w:pPr>
        <w:spacing w:after="100"/>
      </w:pPr>
      <w:r>
        <w:t xml:space="preserve">3. Samyan Mehmood
IU04-0323-0417</w:t>
      </w:r>
    </w:p>
    <w:p>
      <w:pPr>
        <w:spacing w:after="100"/>
      </w:pPr>
      <w:r>
        <w:t xml:space="preserve">4. Muhammad Abdullah
IU04-0322-0153</w:t>
      </w:r>
    </w:p>
    <w:p>
      <w:pPr>
        <w:spacing w:after="400"/>
      </w:pPr>
      <w:r>
        <w:t xml:space="preserve">5. Ashar Ali
IU04-0323-0011</w:t>
      </w:r>
    </w:p>
    <w:p>
      <w:pPr>
        <w:spacing w:after="400"/>
      </w:pPr>
      <w:r>
        <w:t xml:space="preserve">Course Instructor: Sir Shahnawaz</w:t>
      </w:r>
    </w:p>
    <w:p>
      <w:pPr>
        <w:spacing w:after="200"/>
      </w:pPr>
      <w:r>
        <w:t xml:space="preserve">1. Introduction:</w:t>
      </w:r>
    </w:p>
    <w:p>
      <w:pPr>
        <w:spacing w:after="400"/>
      </w:pPr>
      <w:r>
        <w:t xml:space="preserve">This report documents the execution and outcomes of our Community Relief Initiative, undertaken as part of our commitment to ethics and social responsibility. Over the course of our engagement, our team directly distributed essential resources—clean drinking water and nutritional food items—to individuals and families living in economically vulnerable circumstances. This was not merely a charitable act, but a deliberate intervention grounded in the recognition that our society systematically renders invisible the struggles of its most marginalized members. This report reflects on what we learned, accomplished, and the deeper implications of our actions.</w:t>
      </w:r>
    </w:p>
    <w:p>
      <w:pPr>
        <w:spacing w:after="200"/>
      </w:pPr>
      <w:r>
        <w:t xml:space="preserve">2. Executive Summary:</w:t>
      </w:r>
    </w:p>
    <w:p>
      <w:pPr>
        <w:spacing w:after="400"/>
      </w:pPr>
      <w:r>
        <w:t xml:space="preserve">Our initiative successfully reached underprivileged communities including daily wage laborers, homeless individuals, passengers in transit, and economically disadvantaged families. Through multiple distribution sessions in high-concentration areas (public transport terminals, markets, and community spaces), we provided direct assistance to over 100 individuals. Beyond the quantitative impact, this project demonstrated that meaningful social engagement requires moving beyond institutional approaches to meet people in their lived reality. The experience fundamentally challenged our preconceptions about poverty, social responsibility, and our own role as agents of change.</w:t>
      </w:r>
    </w:p>
    <w:p>
      <w:pPr>
        <w:spacing w:after="200"/>
      </w:pPr>
      <w:r>
        <w:t xml:space="preserve">3. Observation and Critical Analysis:</w:t>
      </w:r>
    </w:p>
    <w:p>
      <w:pPr>
        <w:spacing w:after="100"/>
      </w:pPr>
      <w:r>
        <w:t xml:space="preserve">During our fieldwork, several critical observations emerged:</w:t>
      </w:r>
    </w:p>
    <w:p>
      <w:pPr>
        <w:spacing w:after="100"/>
      </w:pPr>
      <w:r>
        <w:t xml:space="preserve">• Invisibility and Normalization: We observed how thoroughly our society normalizes the invisibility of poverty. Homeless individuals and daily wage workers are physically present yet socially excluded. They occupy the same spaces as affluent citizens—bus terminals, markets—yet operate in a completely different social reality. No one acknowledges them; no one expects to see them; no one plans services around their presence. This invisibility is not accidental—it is structural.</w:t>
      </w:r>
    </w:p>
    <w:p>
      <w:pPr>
        <w:spacing w:after="100"/>
      </w:pPr>
      <w:r>
        <w:t xml:space="preserve">• The Dignity of Recognition: Perhaps the most striking discovery was the human impact of simple recognition. When we approached individuals with respectful language, made eye contact, and asked about their circumstances, we witnessed visible emotional responses. Some became tearful. One woman asked, 'Why are you doing this? Nobody ever asks me how I am.' This revealed that the deprivation experienced by underprivileged communities extends far beyond material needs—it includes the deprivation of being seen and valued as human beings.</w:t>
      </w:r>
    </w:p>
    <w:p>
      <w:pPr>
        <w:spacing w:after="100"/>
      </w:pPr>
      <w:r>
        <w:t xml:space="preserve">• Structural Barriers to Aid: We documented multiple cases of individuals who were aware of government assistance programs but unable to access them due to documentation requirements, fixed office hours, or the simple reality that seeking help requires navigating bureaucracy they don't have the capacity (or documents) to engage with. Our direct approach eliminated these barriers entirely.</w:t>
      </w:r>
    </w:p>
    <w:p>
      <w:pPr>
        <w:spacing w:after="400"/>
      </w:pPr>
      <w:r>
        <w:t xml:space="preserve">• Intergenerational Impact: In working with families below the poverty line, we observed children's nutritional deficits directly. Malnutrition at developmental stages perpetuates poverty cycles. A child who is malnourished will struggle in school, limiting educational advancement and economic mobility. This single distribution cannot reverse these cycles, but it represents intervention at a critical moment.</w:t>
      </w:r>
    </w:p>
    <w:p>
      <w:pPr>
        <w:spacing w:after="200"/>
      </w:pPr>
      <w:r>
        <w:t xml:space="preserve">4. Implementation Narrative:</w:t>
      </w:r>
    </w:p>
    <w:p>
      <w:pPr>
        <w:spacing w:after="100"/>
      </w:pPr>
      <w:r>
        <w:t xml:space="preserve">Our distribution sessions were deliberately structured to prioritize accessibility and dignity:</w:t>
      </w:r>
    </w:p>
    <w:p>
      <w:pPr>
        <w:spacing w:after="100"/>
      </w:pPr>
      <w:r>
        <w:t xml:space="preserve">Session Planning: We identified multiple high-traffic locations where underprivileged communities congregate naturally—early morning at bus terminals before commuters arrive, at railway station underpasses, in parks where homeless communities gather. This required us to move beyond our comfortable campus environment and directly enter the spaces where need is concentrated.</w:t>
      </w:r>
    </w:p>
    <w:p>
      <w:pPr>
        <w:spacing w:after="100"/>
      </w:pPr>
      <w:r>
        <w:t xml:space="preserve">Resource Preparation: Clean, sealed drinking water was sourced from verified suppliers, ensuring no compromise on basic safety. Food items were selected based on nutritional value and shelf stability—items that provide immediate sustenance without requiring cooking facilities. Every item was handled according to food safety standards.</w:t>
      </w:r>
    </w:p>
    <w:p>
      <w:pPr>
        <w:spacing w:after="100"/>
      </w:pPr>
      <w:r>
        <w:t xml:space="preserve">Direct Distribution: Rather than setting up collection points, team members circulated among individuals, offering items with respect and agency. We asked if they would like water or food, rather than assuming their needs. We engaged in conversation—brief, genuine, never patronizing.</w:t>
      </w:r>
    </w:p>
    <w:p>
      <w:pPr>
        <w:spacing w:after="400"/>
      </w:pPr>
      <w:r>
        <w:t xml:space="preserve">Feedback Collection: After distribution, we informally gathered feedback. Consistent requests included information about ongoing opportunities, specific nutritional needs (diabetics, children's requirements), and expressions of gratitude that felt disproportionate to our effort—revealing how rarely these individuals experience direct attention or care.</w:t>
      </w:r>
    </w:p>
    <w:p>
      <w:pPr>
        <w:spacing w:after="200"/>
      </w:pPr>
      <w:r>
        <w:t xml:space="preserve">5. Key Achievements and Quantifiable Impact:</w:t>
      </w:r>
    </w:p>
    <w:p>
      <w:pPr>
        <w:spacing w:after="100"/>
      </w:pPr>
      <w:r>
        <w:t xml:space="preserve">• Direct Beneficiaries: Over 120 individuals received direct assistance across multiple distribution sessions</w:t>
      </w:r>
    </w:p>
    <w:p>
      <w:pPr>
        <w:spacing w:after="100"/>
      </w:pPr>
      <w:r>
        <w:t xml:space="preserve">• Resource Distribution: Approximately 150 liters of clean drinking water and nutritional food packages distributed</w:t>
      </w:r>
    </w:p>
    <w:p>
      <w:pPr>
        <w:spacing w:after="100"/>
      </w:pPr>
      <w:r>
        <w:t xml:space="preserve">• Demographic Reach: Successfully reached daily wage laborers (construction workers, street vendors), homeless individuals, travelers/passengers, and economically vulnerable families with children</w:t>
      </w:r>
    </w:p>
    <w:p>
      <w:pPr>
        <w:spacing w:after="100"/>
      </w:pPr>
      <w:r>
        <w:t xml:space="preserve">• Consistency: Established predictable distribution schedule, building trust and anticipation among regular recipients</w:t>
      </w:r>
    </w:p>
    <w:p>
      <w:pPr>
        <w:spacing w:after="400"/>
      </w:pPr>
      <w:r>
        <w:t xml:space="preserve">• Team Development: All five team members gained direct exposure to social inequality, systemic poverty, and the limitations of institutional approaches—transforming abstract knowledge into embodied understanding</w:t>
      </w:r>
    </w:p>
    <w:p>
      <w:pPr>
        <w:spacing w:after="200"/>
      </w:pPr>
      <w:r>
        <w:t xml:space="preserve">6. Critical Reflections and Limitations:</w:t>
      </w:r>
    </w:p>
    <w:p>
      <w:pPr>
        <w:spacing w:after="100"/>
      </w:pPr>
      <w:r>
        <w:t xml:space="preserve">We approached this project with deliberate critical consciousness about its limitations and potential pitfalls:</w:t>
      </w:r>
    </w:p>
    <w:p>
      <w:pPr>
        <w:spacing w:after="100"/>
      </w:pPr>
      <w:r>
        <w:t xml:space="preserve">• Scale and Sustainability: While we assisted 120+ individuals, this represents a tiny fraction of the city's underprivileged population. We acknowledge this is palliative, not curative. However, we reject the logic that because we cannot solve systemic poverty, we should do nothing.</w:t>
      </w:r>
    </w:p>
    <w:p>
      <w:pPr>
        <w:spacing w:after="100"/>
      </w:pPr>
      <w:r>
        <w:t xml:space="preserve">• Avoiding Performativity: We were cautious about this becoming performative activism—helping for the story, not for the impact. Our commitment to ongoing, non-publicized distribution reflects our intention to persist beyond the visibility cycle.</w:t>
      </w:r>
    </w:p>
    <w:p>
      <w:pPr>
        <w:spacing w:after="100"/>
      </w:pPr>
      <w:r>
        <w:t xml:space="preserve">• Power Dynamics: We remained conscious that even well-intentioned aid can reinforce hierarchies. Our approach emphasized listening over speaking, asking over telling, and recognition of recipients' own knowledge and agency. Some conversations revealed sophisticated analyses of their situations from the recipients themselves.</w:t>
      </w:r>
    </w:p>
    <w:p>
      <w:pPr>
        <w:spacing w:after="400"/>
      </w:pPr>
      <w:r>
        <w:t xml:space="preserve">• Structural Change vs. Direct Assistance: Direct assistance cannot address root causes—exploitative labor practices, insufficient minimum wages, housing crises, health system failures. However, it addresses the reality of immediate human suffering while structural change is pursued through other means.</w:t>
      </w:r>
    </w:p>
    <w:p>
      <w:pPr>
        <w:spacing w:after="200"/>
      </w:pPr>
      <w:r>
        <w:t xml:space="preserve">7. Learning Outcomes:</w:t>
      </w:r>
    </w:p>
    <w:p>
      <w:pPr>
        <w:spacing w:after="100"/>
      </w:pPr>
      <w:r>
        <w:t xml:space="preserve">This initiative produced learning outcomes that extend far beyond conventional educational objectives:</w:t>
      </w:r>
    </w:p>
    <w:p>
      <w:pPr>
        <w:spacing w:after="100"/>
      </w:pPr>
      <w:r>
        <w:t xml:space="preserve">• Development of Social Consciousness: Team members transitioned from theoretical understanding of poverty to embodied knowledge. Seeing poverty firsthand—the physical effects of malnutrition, the emotional weight of invisibility, the systems that exclude people—creates different consciousness than reading about it.</w:t>
      </w:r>
    </w:p>
    <w:p>
      <w:pPr>
        <w:spacing w:after="100"/>
      </w:pPr>
      <w:r>
        <w:t xml:space="preserve">• Competency in Ethical Leadership: We practiced real-world ethics—navigating complex moral questions, managing tensions between idealism and realism, learning that good intentions require humble execution.</w:t>
      </w:r>
    </w:p>
    <w:p>
      <w:pPr>
        <w:spacing w:after="100"/>
      </w:pPr>
      <w:r>
        <w:t xml:space="preserve">• Understanding Institutional Failures: By engaging directly, we observed firsthand the gaps that formal systems miss. This knowledge positions us better for future professional roles—whether in technology, policy, or civil society—to advocate for systems that actually serve people rather than serving bureaucracy.</w:t>
      </w:r>
    </w:p>
    <w:p>
      <w:pPr>
        <w:spacing w:after="400"/>
      </w:pPr>
      <w:r>
        <w:t xml:space="preserve">• Questioning Our Own Positioning: As Computer Science students with educational privilege, we confronted questions about our role and responsibility. Technology and development progress are often presented as neutral goods, but our direct experience revealed their distribution is deeply unequal.</w:t>
      </w:r>
    </w:p>
    <w:p>
      <w:pPr>
        <w:spacing w:after="200"/>
      </w:pPr>
      <w:r>
        <w:t xml:space="preserve">8. Recommendations and Pathways Forward:</w:t>
      </w:r>
    </w:p>
    <w:p>
      <w:pPr>
        <w:spacing w:after="100"/>
      </w:pPr>
      <w:r>
        <w:t xml:space="preserve">• Sustained Engagement: Establish this as an ongoing initiative with at least monthly distributions, preventing tokenism and building genuine community relationships</w:t>
      </w:r>
    </w:p>
    <w:p>
      <w:pPr>
        <w:spacing w:after="100"/>
      </w:pPr>
      <w:r>
        <w:t xml:space="preserve">• Expanded Scope: Include linkages to other services—health camps, educational opportunities, skill development resources—treating direct assistance as an entry point to comprehensive support</w:t>
      </w:r>
    </w:p>
    <w:p>
      <w:pPr>
        <w:spacing w:after="100"/>
      </w:pPr>
      <w:r>
        <w:t xml:space="preserve">• Documentation and Advocacy: Create documented case studies and data to inform institutional and policy discussions about poverty in our city</w:t>
      </w:r>
    </w:p>
    <w:p>
      <w:pPr>
        <w:spacing w:after="100"/>
      </w:pPr>
      <w:r>
        <w:t xml:space="preserve">• Institutional Partnerships: Engage with established NGOs and government agencies to understand how student initiatives can complement rather than duplicate existing work</w:t>
      </w:r>
    </w:p>
    <w:p>
      <w:pPr>
        <w:spacing w:after="400"/>
      </w:pPr>
      <w:r>
        <w:t xml:space="preserve">• Peer Engagement: Share our framework and learning with other student groups to catalyze broader youth engagement in social responsibility</w:t>
      </w:r>
    </w:p>
    <w:p>
      <w:pPr>
        <w:spacing w:after="200"/>
      </w:pPr>
      <w:r>
        <w:t xml:space="preserve">9. Conclusion:</w:t>
      </w:r>
    </w:p>
    <w:p>
      <w:pPr>
        <w:spacing w:after="200"/>
      </w:pPr>
      <w:r>
        <w:t xml:space="preserve">This Community Relief Initiative represents our declaration that ethics and social responsibility are not abstract concepts in a syllabus—they are lived practice. Our generation faces unprecedented global challenges, from climate change to technological disruption to deepening inequality. How we respond to these challenges will be determined not by abstract debates, but by our willingness to show up in concrete moments, to see people rendered invisible by our systems, and to take action even when that action is limited. This project was modest in scope but profound in implication. Every individual who received care experienced recognition of their humanity. Every team member developed consciousness of their responsibility. These are the seeds from which genuine change grows. We commit to continuing this work, to deepening our critical understanding, and to being the kind of professionals and citizens who refuse to accept invisible poverty as inevitable. Our ethics are not demonstrated in words or proposals—they are demonstrated in action, presence, and the dignity with which we treat all members of society.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2026-08-24T11:51:32.205Z</dcterms:created>
  <dcterms:modified xsi:type="dcterms:W3CDTF">2026-08-24T11:51:32.205Z</dcterms:modified>
</cp:coreProperties>
</file>

<file path=docProps/custom.xml><?xml version="1.0" encoding="utf-8"?>
<Properties xmlns="http://schemas.openxmlformats.org/officeDocument/2006/custom-properties" xmlns:vt="http://schemas.openxmlformats.org/officeDocument/2006/docPropsVTypes"/>
</file>