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Took</w:t>
      </w:r>
      <w:r>
        <w:t xml:space="preserve"> </w:t>
      </w:r>
      <w:r>
        <w:t xml:space="preserve">to</w:t>
      </w:r>
      <w:r>
        <w:t xml:space="preserve"> </w:t>
      </w:r>
      <w:r>
        <w:t xml:space="preserve">Read</w:t>
      </w:r>
      <w:r>
        <w:t xml:space="preserve"> </w:t>
      </w:r>
      <w:r>
        <w:t xml:space="preserve">the</w:t>
      </w:r>
      <w:r>
        <w:t xml:space="preserve"> </w:t>
      </w:r>
      <w:r>
        <w:t xml:space="preserve">Law:</w:t>
      </w:r>
      <w:r>
        <w:br/>
      </w:r>
      <w:r>
        <w:t xml:space="preserve">Access,</w:t>
      </w:r>
      <w:r>
        <w:t xml:space="preserve"> </w:t>
      </w:r>
      <w:r>
        <w:t xml:space="preserve">Provenance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Evidentiary</w:t>
      </w:r>
      <w:r>
        <w:t xml:space="preserve"> </w:t>
      </w:r>
      <w:r>
        <w:t xml:space="preserve">Basis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Digital</w:t>
      </w:r>
      <w:r>
        <w:t xml:space="preserve"> </w:t>
      </w:r>
      <w:r>
        <w:t xml:space="preserve">Legal</w:t>
      </w:r>
      <w:r>
        <w:t xml:space="preserve"> </w:t>
      </w:r>
      <w:r>
        <w:t xml:space="preserve">Corpus</w:t>
      </w:r>
    </w:p>
    <w:p>
      <w:pPr>
        <w:pStyle w:val="FirstParagraph"/>
      </w:pPr>
      <w:r>
        <w:rPr>
          <w:bCs/>
          <w:b/>
        </w:rPr>
        <w:t xml:space="preserve">What It Took to Read the Law: Access, Provenance and the Evidentiary Basis of a Digital Legal Corpus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Empirical legal research, legal information systems and legal AI all rest on</w:t>
      </w:r>
      <w:r>
        <w:t xml:space="preserve"> </w:t>
      </w:r>
      <w:r>
        <w:t xml:space="preserve">an assumption none of them states: that the official text of the law was</w:t>
      </w:r>
      <w:r>
        <w:t xml:space="preserve"> </w:t>
      </w:r>
      <w:r>
        <w:t xml:space="preserve">available, and was itself consistent, at the moment the text was collected.</w:t>
      </w:r>
      <w:r>
        <w:t xml:space="preserve"> </w:t>
      </w:r>
      <w:r>
        <w:t xml:space="preserve">This article tests that assumption against the record kept while building a</w:t>
      </w:r>
      <w:r>
        <w:t xml:space="preserve"> </w:t>
      </w:r>
      <w:r>
        <w:t xml:space="preserve">corpus of Saudi Arabian legislation. Every verified article carries a</w:t>
      </w:r>
      <w:r>
        <w:t xml:space="preserve"> </w:t>
      </w:r>
      <w:r>
        <w:t xml:space="preserve">provenance string naming the sources consulted and how they were reconciled,</w:t>
      </w:r>
      <w:r>
        <w:t xml:space="preserve"> </w:t>
      </w:r>
      <w:r>
        <w:t xml:space="preserve">and every instrument carries a hand-assigned verification tier. Measured over</w:t>
      </w:r>
      <w:r>
        <w:t xml:space="preserve"> </w:t>
      </w:r>
      <w:r>
        <w:t xml:space="preserve">the 11,704 articles whose record names its sources, the official source was</w:t>
      </w:r>
      <w:r>
        <w:t xml:space="preserve"> </w:t>
      </w:r>
      <w:r>
        <w:t xml:space="preserve">unreachable for 20.0 per cent of them, covering 28.0 per cent of instruments;</w:t>
      </w:r>
      <w:r>
        <w:t xml:space="preserve"> </w:t>
      </w:r>
      <w:r>
        <w:t xml:space="preserve">20.9 per cent were obtained through a web archive; 10.2 per cent rest on a</w:t>
      </w:r>
      <w:r>
        <w:t xml:space="preserve"> </w:t>
      </w:r>
      <w:r>
        <w:t xml:space="preserve">single source; 8.2 per cent required optical or visual reconstruction; and 4.9</w:t>
      </w:r>
      <w:r>
        <w:t xml:space="preserve"> </w:t>
      </w:r>
      <w:r>
        <w:t xml:space="preserve">per cent record a defect in the official text itself. Weighted by article, 17.0</w:t>
      </w:r>
      <w:r>
        <w:t xml:space="preserve"> </w:t>
      </w:r>
      <w:r>
        <w:t xml:space="preserve">per cent of the corpus has no cross-verified official primary source behind it,</w:t>
      </w:r>
      <w:r>
        <w:t xml:space="preserve"> </w:t>
      </w:r>
      <w:r>
        <w:t xml:space="preserve">and the coverage of the sample makes that an underestimate rather than an</w:t>
      </w:r>
      <w:r>
        <w:t xml:space="preserve"> </w:t>
      </w:r>
      <w:r>
        <w:t xml:space="preserve">overestimate. In four instruments the official record contradicts itself across nine</w:t>
      </w:r>
      <w:r>
        <w:t xml:space="preserve"> </w:t>
      </w:r>
      <w:r>
        <w:t xml:space="preserve">articles: the article the portal displays and the change log the same portal</w:t>
      </w:r>
      <w:r>
        <w:t xml:space="preserve"> </w:t>
      </w:r>
      <w:r>
        <w:t xml:space="preserve">publishes do not agree. Two conclusions follow. Web archives are not a convenience for legal</w:t>
      </w:r>
      <w:r>
        <w:t xml:space="preserve"> </w:t>
      </w:r>
      <w:r>
        <w:t xml:space="preserve">research but part of its load-bearing structure, with no guarantee of</w:t>
      </w:r>
      <w:r>
        <w:t xml:space="preserve"> </w:t>
      </w:r>
      <w:r>
        <w:t xml:space="preserve">permanence and no legal status. And a legal corpus should ship the strength of</w:t>
      </w:r>
      <w:r>
        <w:t xml:space="preserve"> </w:t>
      </w:r>
      <w:r>
        <w:t xml:space="preserve">the evidence behind each text alongside the text, because a reader who is given</w:t>
      </w:r>
      <w:r>
        <w:t xml:space="preserve"> </w:t>
      </w:r>
      <w:r>
        <w:t xml:space="preserve">only the text cannot tell the difference between a provision confirmed against</w:t>
      </w:r>
      <w:r>
        <w:t xml:space="preserve"> </w:t>
      </w:r>
      <w:r>
        <w:t xml:space="preserve">two official sources and one transcribed from a single scan.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legal information; provenance; web</w:t>
      </w:r>
      <w:r>
        <w:t xml:space="preserve"> </w:t>
      </w:r>
      <w:r>
        <w:t xml:space="preserve">archiving; official sources; legal corpora; Saudi Arabia</w:t>
      </w:r>
    </w:p>
    <w:bookmarkEnd w:id="20"/>
    <w:bookmarkStart w:id="2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Article 1 of the Saudi Environmental Law can be read on the official</w:t>
      </w:r>
      <w:r>
        <w:t xml:space="preserve"> </w:t>
      </w:r>
      <w:r>
        <w:t xml:space="preserve">legislative portal. It can also be read, on the same portal, in a form that</w:t>
      </w:r>
      <w:r>
        <w:t xml:space="preserve"> </w:t>
      </w:r>
      <w:r>
        <w:t xml:space="preserve">does not match. The corpus described below records the discrepancy against</w:t>
      </w:r>
      <w:r>
        <w:t xml:space="preserve"> </w:t>
      </w:r>
      <w:r>
        <w:t xml:space="preserve">that article, resolved only by going to two independent sources outside the</w:t>
      </w:r>
      <w:r>
        <w:t xml:space="preserve"> </w:t>
      </w:r>
      <w:r>
        <w:t xml:space="preserve">portal and taking the reading on which they agreed.</w:t>
      </w:r>
      <w:r>
        <w:rPr>
          <w:rStyle w:val="FootnoteReference"/>
        </w:rPr>
        <w:footnoteReference w:id="21"/>
      </w:r>
    </w:p>
    <w:p>
      <w:pPr>
        <w:pStyle w:val="BodyText"/>
      </w:pPr>
      <w:r>
        <w:t xml:space="preserve">That is an uncomfortable observation to build on, and it is not the point of</w:t>
      </w:r>
      <w:r>
        <w:t xml:space="preserve"> </w:t>
      </w:r>
      <w:r>
        <w:t xml:space="preserve">this article. The point is what it takes to notice. A researcher who consults</w:t>
      </w:r>
      <w:r>
        <w:t xml:space="preserve"> </w:t>
      </w:r>
      <w:r>
        <w:t xml:space="preserve">the portal once, on a good day, gets an answer and no reason to doubt it. The</w:t>
      </w:r>
      <w:r>
        <w:t xml:space="preserve"> </w:t>
      </w:r>
      <w:r>
        <w:t xml:space="preserve">discrepancy is visible only to someone who consulted the portal repeatedly, kept</w:t>
      </w:r>
      <w:r>
        <w:t xml:space="preserve"> </w:t>
      </w:r>
      <w:r>
        <w:t xml:space="preserve">a record of what each attempt returned, and compared. Almost nobody does that,</w:t>
      </w:r>
      <w:r>
        <w:t xml:space="preserve"> </w:t>
      </w:r>
      <w:r>
        <w:t xml:space="preserve">because almost nobody has reason to: the official source is where the law is,</w:t>
      </w:r>
      <w:r>
        <w:t xml:space="preserve"> </w:t>
      </w:r>
      <w:r>
        <w:t xml:space="preserve">and if the official source says something, that is what the law says.</w:t>
      </w:r>
    </w:p>
    <w:p>
      <w:pPr>
        <w:pStyle w:val="BodyText"/>
      </w:pPr>
      <w:r>
        <w:t xml:space="preserve">This article examines what happens to that assumption when it is checked. It</w:t>
      </w:r>
      <w:r>
        <w:t xml:space="preserve"> </w:t>
      </w:r>
      <w:r>
        <w:t xml:space="preserve">uses a corpus of Saudi Arabian legislation in which every verified article</w:t>
      </w:r>
      <w:r>
        <w:t xml:space="preserve"> </w:t>
      </w:r>
      <w:r>
        <w:t xml:space="preserve">carries a provenance string naming the sources consulted and how they were</w:t>
      </w:r>
      <w:r>
        <w:t xml:space="preserve"> </w:t>
      </w:r>
      <w:r>
        <w:t xml:space="preserve">reconciled, together with a verification tier assigned by hand to each</w:t>
      </w:r>
      <w:r>
        <w:t xml:space="preserve"> </w:t>
      </w:r>
      <w:r>
        <w:t xml:space="preserve">instrument.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The</w:t>
      </w:r>
      <w:r>
        <w:t xml:space="preserve"> </w:t>
      </w:r>
      <w:r>
        <w:t xml:space="preserve">corpus was not built to study its own provenance. The record exists because</w:t>
      </w:r>
      <w:r>
        <w:t xml:space="preserve"> </w:t>
      </w:r>
      <w:r>
        <w:t xml:space="preserve">building it required deciding, article by article, whether the text in hand</w:t>
      </w:r>
      <w:r>
        <w:t xml:space="preserve"> </w:t>
      </w:r>
      <w:r>
        <w:t xml:space="preserve">could be relied on — and the record of those decisions turns out to be</w:t>
      </w:r>
      <w:r>
        <w:t xml:space="preserve"> </w:t>
      </w:r>
      <w:r>
        <w:t xml:space="preserve">evidence about something larger than one corpus.</w:t>
      </w:r>
    </w:p>
    <w:p>
      <w:pPr>
        <w:pStyle w:val="BodyText"/>
      </w:pPr>
      <w:r>
        <w:t xml:space="preserve">Three findings follow, and a fourth observation about this corpus’s own</w:t>
      </w:r>
      <w:r>
        <w:t xml:space="preserve"> </w:t>
      </w:r>
      <w:r>
        <w:t xml:space="preserve">shortcomings.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bCs/>
          <w:b/>
        </w:rPr>
        <w:t xml:space="preserve">the official source was frequently not available</w:t>
      </w:r>
      <w:r>
        <w:t xml:space="preserve">. For 20.0 per</w:t>
      </w:r>
      <w:r>
        <w:t xml:space="preserve"> </w:t>
      </w:r>
      <w:r>
        <w:t xml:space="preserve">cent of articles, covering 28.0 per cent of instruments, the build record</w:t>
      </w:r>
      <w:r>
        <w:t xml:space="preserve"> </w:t>
      </w:r>
      <w:r>
        <w:t xml:space="preserve">documents that the primary official source could not be reached: a portal</w:t>
      </w:r>
      <w:r>
        <w:t xml:space="preserve"> </w:t>
      </w:r>
      <w:r>
        <w:t xml:space="preserve">returning an error, a connection reset, a page that no longer resolved. This</w:t>
      </w:r>
      <w:r>
        <w:t xml:space="preserve"> </w:t>
      </w:r>
      <w:r>
        <w:t xml:space="preserve">is not a claim that the sources are badly maintained. It is a measurement of</w:t>
      </w:r>
      <w:r>
        <w:t xml:space="preserve"> </w:t>
      </w:r>
      <w:r>
        <w:t xml:space="preserve">how often a researcher who needs the official text will not get it on the</w:t>
      </w:r>
      <w:r>
        <w:t xml:space="preserve"> </w:t>
      </w:r>
      <w:r>
        <w:t xml:space="preserve">first attempt — or the fifth.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web archives did much of the work instead</w:t>
      </w:r>
      <w:r>
        <w:t xml:space="preserve">. 20.9 per cent of</w:t>
      </w:r>
      <w:r>
        <w:t xml:space="preserve"> </w:t>
      </w:r>
      <w:r>
        <w:t xml:space="preserve">articles were obtained through an archived capture rather than a live official</w:t>
      </w:r>
      <w:r>
        <w:t xml:space="preserve"> </w:t>
      </w:r>
      <w:r>
        <w:t xml:space="preserve">page. The two totals are close, but that alone would prove nothing — so the</w:t>
      </w:r>
      <w:r>
        <w:t xml:space="preserve"> </w:t>
      </w:r>
      <w:r>
        <w:t xml:space="preserve">joint is measured rather than inferred: 67.8 per cent of the articles whose</w:t>
      </w:r>
      <w:r>
        <w:t xml:space="preserve"> </w:t>
      </w:r>
      <w:r>
        <w:t xml:space="preserve">official source was unreachable were recovered through an archive, and 65.1 per</w:t>
      </w:r>
      <w:r>
        <w:t xml:space="preserve"> </w:t>
      </w:r>
      <w:r>
        <w:t xml:space="preserve">cent of archive use coincided with a recorded unavailability. The archive</w:t>
      </w:r>
      <w:r>
        <w:t xml:space="preserve"> </w:t>
      </w:r>
      <w:r>
        <w:t xml:space="preserve">standing in for a page that would not load is therefore the dominant pattern</w:t>
      </w:r>
      <w:r>
        <w:t xml:space="preserve"> </w:t>
      </w:r>
      <w:r>
        <w:t xml:space="preserve">and not the only one; 7.3 per cent of articles used an archive with no</w:t>
      </w:r>
      <w:r>
        <w:t xml:space="preserve"> </w:t>
      </w:r>
      <w:r>
        <w:t xml:space="preserve">unavailability recorded, and 6.4 per cent record unavailability that an archive</w:t>
      </w:r>
      <w:r>
        <w:t xml:space="preserve"> </w:t>
      </w:r>
      <w:r>
        <w:t xml:space="preserve">did not resolve. The Internet Archive is not a fallback for this kind of</w:t>
      </w:r>
      <w:r>
        <w:t xml:space="preserve"> </w:t>
      </w:r>
      <w:r>
        <w:t xml:space="preserve">research. It is part of the infrastructure, and it holds that position without</w:t>
      </w:r>
      <w:r>
        <w:t xml:space="preserve"> </w:t>
      </w:r>
      <w:r>
        <w:t xml:space="preserve">any legal status, any guarantee of permanence, and no obligation to anyone.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the evidence behind the text is uneven, and nothing published</w:t>
      </w:r>
      <w:r>
        <w:rPr>
          <w:bCs/>
          <w:b/>
        </w:rPr>
        <w:t xml:space="preserve"> </w:t>
      </w:r>
      <w:r>
        <w:rPr>
          <w:bCs/>
          <w:b/>
        </w:rPr>
        <w:t xml:space="preserve">alongside the text says so</w:t>
      </w:r>
      <w:r>
        <w:t xml:space="preserve">. Weighted by article, 64.2 per cent of the corpus</w:t>
      </w:r>
      <w:r>
        <w:t xml:space="preserve"> </w:t>
      </w:r>
      <w:r>
        <w:t xml:space="preserve">rests on two or more official sources in agreement; 18.9 per cent on one</w:t>
      </w:r>
      <w:r>
        <w:t xml:space="preserve"> </w:t>
      </w:r>
      <w:r>
        <w:t xml:space="preserve">official source cross-checked against secondary ones; 4.5 per cent on secondary</w:t>
      </w:r>
      <w:r>
        <w:t xml:space="preserve"> </w:t>
      </w:r>
      <w:r>
        <w:t xml:space="preserve">sources only, because no official source could be reached; and 12.5 per cent on</w:t>
      </w:r>
      <w:r>
        <w:t xml:space="preserve"> </w:t>
      </w:r>
      <w:r>
        <w:t xml:space="preserve">a single source or on evidence that varies within the instrument. A reader</w:t>
      </w:r>
      <w:r>
        <w:t xml:space="preserve"> </w:t>
      </w:r>
      <w:r>
        <w:t xml:space="preserve">given the consolidated text alone cannot distinguish the first case from the</w:t>
      </w:r>
      <w:r>
        <w:t xml:space="preserve"> </w:t>
      </w:r>
      <w:r>
        <w:t xml:space="preserve">last.</w:t>
      </w:r>
    </w:p>
    <w:p>
      <w:pPr>
        <w:pStyle w:val="BodyText"/>
      </w:pPr>
      <w:r>
        <w:t xml:space="preserve">The fourth observation is about the record itself, and it cuts against the</w:t>
      </w:r>
      <w:r>
        <w:t xml:space="preserve"> </w:t>
      </w:r>
      <w:r>
        <w:t xml:space="preserve">corpus this article uses. The provenance field is free text, not a controlled</w:t>
      </w:r>
      <w:r>
        <w:t xml:space="preserve"> </w:t>
      </w:r>
      <w:r>
        <w:t xml:space="preserve">vocabulary, and 3,704 of 15,408 articles carry a value in it that is not a</w:t>
      </w:r>
      <w:r>
        <w:t xml:space="preserve"> </w:t>
      </w:r>
      <w:r>
        <w:t xml:space="preserve">provenance statement at all — a lifecycle status such as</w:t>
      </w:r>
      <w:r>
        <w:t xml:space="preserve"> </w:t>
      </w:r>
      <w:r>
        <w:t xml:space="preserve">‘</w:t>
      </w:r>
      <w:r>
        <w:t xml:space="preserve">unchanged</w:t>
      </w:r>
      <w:r>
        <w:t xml:space="preserve">’</w:t>
      </w:r>
      <w:r>
        <w:t xml:space="preserve"> </w:t>
      </w:r>
      <w:r>
        <w:t xml:space="preserve">that</w:t>
      </w:r>
      <w:r>
        <w:t xml:space="preserve"> </w:t>
      </w:r>
      <w:r>
        <w:t xml:space="preserve">leaked into the same field. A project that took provenance unusually seriously</w:t>
      </w:r>
      <w:r>
        <w:t xml:space="preserve"> </w:t>
      </w:r>
      <w:r>
        <w:t xml:space="preserve">still ended up with a provenance field that means three different things. That</w:t>
      </w:r>
      <w:r>
        <w:t xml:space="preserve"> </w:t>
      </w:r>
      <w:r>
        <w:t xml:space="preserve">is reported here rather than quietly cleaned, because it is the strongest</w:t>
      </w:r>
      <w:r>
        <w:t xml:space="preserve"> </w:t>
      </w:r>
      <w:r>
        <w:t xml:space="preserve">available argument that provenance needs a vocabulary and a schema rather than</w:t>
      </w:r>
      <w:r>
        <w:t xml:space="preserve"> </w:t>
      </w:r>
      <w:r>
        <w:t xml:space="preserve">a place to write a sentence.</w:t>
      </w:r>
    </w:p>
    <w:bookmarkEnd w:id="23"/>
    <w:bookmarkStart w:id="31" w:name="the-assumption-and-who-relies-on-it"/>
    <w:p>
      <w:pPr>
        <w:pStyle w:val="Heading1"/>
      </w:pPr>
      <w:r>
        <w:t xml:space="preserve">The assumption, and who relies on it</w:t>
      </w:r>
    </w:p>
    <w:bookmarkStart w:id="24" w:name="in-citation-practice"/>
    <w:p>
      <w:pPr>
        <w:pStyle w:val="Heading2"/>
      </w:pPr>
      <w:r>
        <w:t xml:space="preserve">In citation practice</w:t>
      </w:r>
    </w:p>
    <w:p>
      <w:pPr>
        <w:pStyle w:val="FirstParagraph"/>
      </w:pPr>
      <w:r>
        <w:t xml:space="preserve">Legal citation is built on the premise that a citation is a retrieval</w:t>
      </w:r>
      <w:r>
        <w:t xml:space="preserve"> </w:t>
      </w:r>
      <w:r>
        <w:t xml:space="preserve">instruction: it names an instrument and a provision so that a reader can go and</w:t>
      </w:r>
      <w:r>
        <w:t xml:space="preserve"> </w:t>
      </w:r>
      <w:r>
        <w:t xml:space="preserve">read it. The convention is old enough to predate the question of whether the</w:t>
      </w:r>
      <w:r>
        <w:t xml:space="preserve"> </w:t>
      </w:r>
      <w:r>
        <w:t xml:space="preserve">naming is enough, and it does not encode where the reader should go, or what</w:t>
      </w:r>
      <w:r>
        <w:t xml:space="preserve"> </w:t>
      </w:r>
      <w:r>
        <w:t xml:space="preserve">they should do if what they find there is not what the citing author found.</w:t>
      </w:r>
    </w:p>
    <w:p>
      <w:pPr>
        <w:pStyle w:val="BodyText"/>
      </w:pPr>
      <w:r>
        <w:t xml:space="preserve">For most of the history of legal citation this was adequate, because the</w:t>
      </w:r>
      <w:r>
        <w:t xml:space="preserve"> </w:t>
      </w:r>
      <w:r>
        <w:t xml:space="preserve">authoritative artefact was a printed gazette held in libraries, and the</w:t>
      </w:r>
      <w:r>
        <w:t xml:space="preserve"> </w:t>
      </w:r>
      <w:r>
        <w:t xml:space="preserve">question</w:t>
      </w:r>
      <w:r>
        <w:t xml:space="preserve"> </w:t>
      </w:r>
      <w:r>
        <w:t xml:space="preserve">‘</w:t>
      </w:r>
      <w:r>
        <w:t xml:space="preserve">is this the text?</w:t>
      </w:r>
      <w:r>
        <w:t xml:space="preserve">’</w:t>
      </w:r>
      <w:r>
        <w:t xml:space="preserve"> </w:t>
      </w:r>
      <w:r>
        <w:t xml:space="preserve">had a physical answer. It is less adequate when</w:t>
      </w:r>
      <w:r>
        <w:t xml:space="preserve"> </w:t>
      </w:r>
      <w:r>
        <w:t xml:space="preserve">the authoritative artefact is a database behind a web front end, whose contents</w:t>
      </w:r>
      <w:r>
        <w:t xml:space="preserve"> </w:t>
      </w:r>
      <w:r>
        <w:t xml:space="preserve">can change without notice and whose availability is a function of</w:t>
      </w:r>
      <w:r>
        <w:t xml:space="preserve"> </w:t>
      </w:r>
      <w:r>
        <w:t xml:space="preserve">infrastructure nobody involved in the citation controls.</w:t>
      </w:r>
    </w:p>
    <w:bookmarkEnd w:id="24"/>
    <w:bookmarkStart w:id="28" w:name="in-empirical-legal-research-and-legal-ai"/>
    <w:p>
      <w:pPr>
        <w:pStyle w:val="Heading2"/>
      </w:pPr>
      <w:r>
        <w:t xml:space="preserve">In empirical legal research and legal AI</w:t>
      </w:r>
    </w:p>
    <w:p>
      <w:pPr>
        <w:pStyle w:val="FirstParagraph"/>
      </w:pPr>
      <w:r>
        <w:t xml:space="preserve">The exposure is sharper for work that consumes law at scale. A study measuring</w:t>
      </w:r>
      <w:r>
        <w:t xml:space="preserve"> </w:t>
      </w:r>
      <w:r>
        <w:t xml:space="preserve">the structure of a legal system, or a model trained or grounded on statutory</w:t>
      </w:r>
      <w:r>
        <w:t xml:space="preserve"> </w:t>
      </w:r>
      <w:r>
        <w:t xml:space="preserve">text, takes a snapshot and treats it as the law. Machine-readable legal corpora</w:t>
      </w:r>
      <w:r>
        <w:t xml:space="preserve"> </w:t>
      </w:r>
      <w:r>
        <w:t xml:space="preserve">have grown substantially in recent years, and their documentation concentrates</w:t>
      </w:r>
      <w:r>
        <w:t xml:space="preserve"> </w:t>
      </w:r>
      <w:r>
        <w:t xml:space="preserve">on size, licensing and composition rather than on how the text was obtained or</w:t>
      </w:r>
      <w:r>
        <w:t xml:space="preserve"> </w:t>
      </w:r>
      <w:r>
        <w:t xml:space="preserve">how strongly it is attested.</w:t>
      </w:r>
      <w:r>
        <w:rPr>
          <w:rStyle w:val="FootnoteReference"/>
        </w:rPr>
        <w:footnoteReference w:id="25"/>
      </w:r>
      <w:r>
        <w:t xml:space="preserve"> </w:t>
      </w:r>
      <w:r>
        <w:t xml:space="preserve">The dataset-documentation literature has argued for exactly this kind of</w:t>
      </w:r>
      <w:r>
        <w:t xml:space="preserve"> </w:t>
      </w:r>
      <w:r>
        <w:t xml:space="preserve">disclosure in general terms, and legal corpora have largely not adopted</w:t>
      </w:r>
      <w:r>
        <w:t xml:space="preserve"> </w:t>
      </w:r>
      <w:r>
        <w:t xml:space="preserve">it.</w:t>
      </w:r>
      <w:r>
        <w:rPr>
          <w:rStyle w:val="FootnoteReference"/>
        </w:rPr>
        <w:footnoteReference w:id="26"/>
      </w:r>
    </w:p>
    <w:p>
      <w:pPr>
        <w:pStyle w:val="BodyText"/>
      </w:pPr>
      <w:r>
        <w:t xml:space="preserve">Structural standards for legislative documents can carry provenance metadata,</w:t>
      </w:r>
      <w:r>
        <w:t xml:space="preserve"> </w:t>
      </w:r>
      <w:r>
        <w:t xml:space="preserve">and the capacity has been available for years.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The gap is not representational. It is</w:t>
      </w:r>
      <w:r>
        <w:t xml:space="preserve"> </w:t>
      </w:r>
      <w:r>
        <w:t xml:space="preserve">that nobody is required to fill the fields, and a corpus that leaves them empty</w:t>
      </w:r>
      <w:r>
        <w:t xml:space="preserve"> </w:t>
      </w:r>
      <w:r>
        <w:t xml:space="preserve">looks exactly like a corpus whose text is impeccable.</w:t>
      </w:r>
    </w:p>
    <w:bookmarkEnd w:id="28"/>
    <w:bookmarkStart w:id="30" w:name="in-the-archiving-literature"/>
    <w:p>
      <w:pPr>
        <w:pStyle w:val="Heading2"/>
      </w:pPr>
      <w:r>
        <w:t xml:space="preserve">In the archiving literature</w:t>
      </w:r>
    </w:p>
    <w:p>
      <w:pPr>
        <w:pStyle w:val="FirstParagraph"/>
      </w:pPr>
      <w:r>
        <w:t xml:space="preserve">That legal citations rot is not a new observation. Zittrain, Albert and Lessig</w:t>
      </w:r>
      <w:r>
        <w:t xml:space="preserve"> </w:t>
      </w:r>
      <w:r>
        <w:t xml:space="preserve">found that more than 70 per cent of URLs cited in the</w:t>
      </w:r>
      <w:r>
        <w:t xml:space="preserve"> </w:t>
      </w:r>
      <w:r>
        <w:rPr>
          <w:iCs/>
          <w:i/>
        </w:rPr>
        <w:t xml:space="preserve">Harvard Law Review</w:t>
      </w:r>
      <w:r>
        <w:t xml:space="preserve"> </w:t>
      </w:r>
      <w:r>
        <w:t xml:space="preserve">and comparable journals, and 50 per cent of those in United States Supreme</w:t>
      </w:r>
      <w:r>
        <w:t xml:space="preserve"> </w:t>
      </w:r>
      <w:r>
        <w:t xml:space="preserve">Court opinions, no longer led to the material originally cited — the finding</w:t>
      </w:r>
      <w:r>
        <w:t xml:space="preserve"> </w:t>
      </w:r>
      <w:r>
        <w:t xml:space="preserve">that produced Perma.cc.</w:t>
      </w:r>
      <w:r>
        <w:rPr>
          <w:rStyle w:val="FootnoteReference"/>
        </w:rPr>
        <w:footnoteReference w:id="29"/>
      </w:r>
      <w:r>
        <w:t xml:space="preserve"> </w:t>
      </w:r>
      <w:r>
        <w:t xml:space="preserve">What that literature</w:t>
      </w:r>
      <w:r>
        <w:t xml:space="preserve"> </w:t>
      </w:r>
      <w:r>
        <w:t xml:space="preserve">measures is the failure of a citation to resolve some time after publication. This article measures</w:t>
      </w:r>
      <w:r>
        <w:t xml:space="preserve"> </w:t>
      </w:r>
      <w:r>
        <w:t xml:space="preserve">something adjacent and, for a corpus builder, more immediate: the failure of an</w:t>
      </w:r>
      <w:r>
        <w:t xml:space="preserve"> </w:t>
      </w:r>
      <w:r>
        <w:t xml:space="preserve">official source to resolve</w:t>
      </w:r>
      <w:r>
        <w:t xml:space="preserve"> </w:t>
      </w:r>
      <w:r>
        <w:rPr>
          <w:iCs/>
          <w:i/>
        </w:rPr>
        <w:t xml:space="preserve">at the moment of collection</w:t>
      </w:r>
      <w:r>
        <w:t xml:space="preserve">, when the</w:t>
      </w:r>
      <w:r>
        <w:t xml:space="preserve"> </w:t>
      </w:r>
      <w:r>
        <w:t xml:space="preserve">researcher is actively trying and has every incentive to succeed.</w:t>
      </w:r>
    </w:p>
    <w:bookmarkEnd w:id="30"/>
    <w:bookmarkEnd w:id="31"/>
    <w:bookmarkStart w:id="35" w:name="sec:method"/>
    <w:p>
      <w:pPr>
        <w:pStyle w:val="Heading1"/>
      </w:pPr>
      <w:r>
        <w:t xml:space="preserve">Data and method</w:t>
      </w:r>
    </w:p>
    <w:bookmarkStart w:id="32" w:name="the-provenance-record"/>
    <w:p>
      <w:pPr>
        <w:pStyle w:val="Heading2"/>
      </w:pPr>
      <w:r>
        <w:t xml:space="preserve">The provenance record</w:t>
      </w:r>
    </w:p>
    <w:p>
      <w:pPr>
        <w:pStyle w:val="FirstParagraph"/>
      </w:pPr>
      <w:r>
        <w:t xml:space="preserve">Each verified article in the corpus carries a status string written during the</w:t>
      </w:r>
      <w:r>
        <w:t xml:space="preserve"> </w:t>
      </w:r>
      <w:r>
        <w:t xml:space="preserve">build, naming the sources consulted and how they were reconciled — for</w:t>
      </w:r>
      <w:r>
        <w:t xml:space="preserve"> </w:t>
      </w:r>
      <w:r>
        <w:t xml:space="preserve">example, that the Ministry of Justice portal’s API text was cross-checked</w:t>
      </w:r>
      <w:r>
        <w:t xml:space="preserve"> </w:t>
      </w:r>
      <w:r>
        <w:t xml:space="preserve">against the official PDF from the same portal, or that the live official portal</w:t>
      </w:r>
      <w:r>
        <w:t xml:space="preserve"> </w:t>
      </w:r>
      <w:r>
        <w:t xml:space="preserve">was unreachable and the text rests on two independent secondary sources agreeing</w:t>
      </w:r>
      <w:r>
        <w:t xml:space="preserve"> </w:t>
      </w:r>
      <w:r>
        <w:t xml:space="preserve">word for word. There are 15,408 such articles and 158 distinct strings.</w:t>
      </w:r>
    </w:p>
    <w:p>
      <w:pPr>
        <w:pStyle w:val="BodyText"/>
      </w:pPr>
      <w:r>
        <w:t xml:space="preserve">Each instrument also carries a verification tier assigned by hand: two or more</w:t>
      </w:r>
      <w:r>
        <w:t xml:space="preserve"> </w:t>
      </w:r>
      <w:r>
        <w:t xml:space="preserve">official sources in agreement (tier 1); one official source cross-checked</w:t>
      </w:r>
      <w:r>
        <w:t xml:space="preserve"> </w:t>
      </w:r>
      <w:r>
        <w:t xml:space="preserve">against secondary sources (tier 2); no official source reachable, secondary</w:t>
      </w:r>
      <w:r>
        <w:t xml:space="preserve"> </w:t>
      </w:r>
      <w:r>
        <w:t xml:space="preserve">sources only (tier 3); or a single source, or evidence that varies within the</w:t>
      </w:r>
      <w:r>
        <w:t xml:space="preserve"> </w:t>
      </w:r>
      <w:r>
        <w:t xml:space="preserve">instrument (tier 4).</w:t>
      </w:r>
    </w:p>
    <w:bookmarkEnd w:id="32"/>
    <w:bookmarkStart w:id="33" w:name="X9ae376eac3062416ccbbc2495961bca7c212481"/>
    <w:p>
      <w:pPr>
        <w:pStyle w:val="Heading2"/>
      </w:pPr>
      <w:r>
        <w:t xml:space="preserve">Classifying free text, and publishing the classification</w:t>
      </w:r>
    </w:p>
    <w:p>
      <w:pPr>
        <w:pStyle w:val="FirstParagraph"/>
      </w:pPr>
      <w:r>
        <w:t xml:space="preserve">The status strings are not a controlled vocabulary, and treating them as one</w:t>
      </w:r>
      <w:r>
        <w:t xml:space="preserve"> </w:t>
      </w:r>
      <w:r>
        <w:t xml:space="preserve">would be the first mistake available. The analysis therefore classifies each</w:t>
      </w:r>
      <w:r>
        <w:t xml:space="preserve"> </w:t>
      </w:r>
      <w:r>
        <w:t xml:space="preserve">distinct string by an explicit rule and publishes the entire mapping, so that a</w:t>
      </w:r>
      <w:r>
        <w:t xml:space="preserve"> </w:t>
      </w:r>
      <w:r>
        <w:t xml:space="preserve">reader can disagree with any single assignment rather than having to accept the</w:t>
      </w:r>
      <w:r>
        <w:t xml:space="preserve"> </w:t>
      </w:r>
      <w:r>
        <w:t xml:space="preserve">totals.</w:t>
      </w:r>
    </w:p>
    <w:p>
      <w:pPr>
        <w:pStyle w:val="BodyText"/>
      </w:pPr>
      <w:r>
        <w:t xml:space="preserve">A string counts as a</w:t>
      </w:r>
      <w:r>
        <w:t xml:space="preserve"> </w:t>
      </w:r>
      <w:r>
        <w:rPr>
          <w:iCs/>
          <w:i/>
        </w:rPr>
        <w:t xml:space="preserve">provenance statement</w:t>
      </w:r>
      <w:r>
        <w:t xml:space="preserve"> </w:t>
      </w:r>
      <w:r>
        <w:t xml:space="preserve">when it names a source, an</w:t>
      </w:r>
      <w:r>
        <w:t xml:space="preserve"> </w:t>
      </w:r>
      <w:r>
        <w:t xml:space="preserve">artefact or a retrieval route — a portal, a gazette, a named secondary site, a</w:t>
      </w:r>
      <w:r>
        <w:t xml:space="preserve"> </w:t>
      </w:r>
      <w:r>
        <w:t xml:space="preserve">PDF, an archive capture, an OCR pass. Strings that name none of these are not</w:t>
      </w:r>
      <w:r>
        <w:t xml:space="preserve"> </w:t>
      </w:r>
      <w:r>
        <w:t xml:space="preserve">provenance statements: they are lifecycle values such as</w:t>
      </w:r>
      <w:r>
        <w:t xml:space="preserve"> </w:t>
      </w:r>
      <w:r>
        <w:t xml:space="preserve">‘</w:t>
      </w:r>
      <w:r>
        <w:t xml:space="preserve">unchanged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amended</w:t>
      </w:r>
      <w:r>
        <w:t xml:space="preserve">’</w:t>
      </w:r>
      <w:r>
        <w:t xml:space="preserve">, and in one case a single Arabic word, that were written into the</w:t>
      </w:r>
      <w:r>
        <w:t xml:space="preserve"> </w:t>
      </w:r>
      <w:r>
        <w:t xml:space="preserve">same field. There are 3,704 such articles, 24.0 per cent of those carrying any</w:t>
      </w:r>
      <w:r>
        <w:t xml:space="preserve"> </w:t>
      </w:r>
      <w:r>
        <w:t xml:space="preserve">status at all. They are excluded from every measure below.</w:t>
      </w:r>
    </w:p>
    <w:p>
      <w:pPr>
        <w:pStyle w:val="BodyText"/>
      </w:pPr>
      <w:r>
        <w:t xml:space="preserve">Within the provenance statements, six measures are computed by token match,</w:t>
      </w:r>
      <w:r>
        <w:t xml:space="preserve"> </w:t>
      </w:r>
      <w:r>
        <w:t xml:space="preserve">each reported as a share of articles and as a share of instruments. The</w:t>
      </w:r>
      <w:r>
        <w:t xml:space="preserve"> </w:t>
      </w:r>
      <w:r>
        <w:t xml:space="preserve">measures overlap by design: an instrument reached through an archive because</w:t>
      </w:r>
      <w:r>
        <w:t xml:space="preserve"> </w:t>
      </w:r>
      <w:r>
        <w:t xml:space="preserve">the live portal was down scores on both. Every count is published with its</w:t>
      </w:r>
      <w:r>
        <w:t xml:space="preserve"> </w:t>
      </w:r>
      <w:r>
        <w:t xml:space="preserve">underlying string table.</w:t>
      </w:r>
    </w:p>
    <w:bookmarkEnd w:id="33"/>
    <w:bookmarkStart w:id="34" w:name="two-decisions-that-changed-the-numbers"/>
    <w:p>
      <w:pPr>
        <w:pStyle w:val="Heading2"/>
      </w:pPr>
      <w:r>
        <w:t xml:space="preserve">Two decisions that changed the numbers</w:t>
      </w:r>
    </w:p>
    <w:p>
      <w:pPr>
        <w:pStyle w:val="FirstParagraph"/>
      </w:pPr>
      <w:r>
        <w:t xml:space="preserve">Two methodological choices are recorded because each moved a headline, and a</w:t>
      </w:r>
      <w:r>
        <w:t xml:space="preserve"> </w:t>
      </w:r>
      <w:r>
        <w:t xml:space="preserve">reader is entitled to know which way.</w:t>
      </w:r>
    </w:p>
    <w:p>
      <w:pPr>
        <w:pStyle w:val="BodyText"/>
      </w:pPr>
      <w:r>
        <w:rPr>
          <w:bCs/>
          <w:b/>
        </w:rPr>
        <w:t xml:space="preserve">Weighting.</w:t>
      </w:r>
      <w:r>
        <w:t xml:space="preserve"> </w:t>
      </w:r>
      <w:r>
        <w:t xml:space="preserve">Measures are computed per article, not per instrument. A</w:t>
      </w:r>
      <w:r>
        <w:t xml:space="preserve"> </w:t>
      </w:r>
      <w:r>
        <w:t xml:space="preserve">single-source instrument of five articles and one of three hundred are not the</w:t>
      </w:r>
      <w:r>
        <w:t xml:space="preserve"> </w:t>
      </w:r>
      <w:r>
        <w:t xml:space="preserve">same exposure, and an instrument count cannot tell them apart. The two</w:t>
      </w:r>
      <w:r>
        <w:t xml:space="preserve"> </w:t>
      </w:r>
      <w:r>
        <w:t xml:space="preserve">denominators diverge in ways that are themselves informative: optical</w:t>
      </w:r>
      <w:r>
        <w:t xml:space="preserve"> </w:t>
      </w:r>
      <w:r>
        <w:t xml:space="preserve">reconstruction touches 8.2 per cent of articles but 14.0 per cent of</w:t>
      </w:r>
      <w:r>
        <w:t xml:space="preserve"> </w:t>
      </w:r>
      <w:r>
        <w:t xml:space="preserve">instruments, which is what it looks like when the hardest sources to obtain are</w:t>
      </w:r>
      <w:r>
        <w:t xml:space="preserve"> </w:t>
      </w:r>
      <w:r>
        <w:t xml:space="preserve">also the shortest documents.</w:t>
      </w:r>
    </w:p>
    <w:p>
      <w:pPr>
        <w:pStyle w:val="BodyText"/>
      </w:pPr>
      <w:r>
        <w:rPr>
          <w:bCs/>
          <w:b/>
        </w:rPr>
        <w:t xml:space="preserve">A prior estimate was wrong.</w:t>
      </w:r>
      <w:r>
        <w:t xml:space="preserve"> </w:t>
      </w:r>
      <w:r>
        <w:t xml:space="preserve">An earlier pass over the registry’s</w:t>
      </w:r>
      <w:r>
        <w:t xml:space="preserve"> </w:t>
      </w:r>
      <w:r>
        <w:t xml:space="preserve">free-text notes, matching patterns against prose rather than against the</w:t>
      </w:r>
      <w:r>
        <w:t xml:space="preserve"> </w:t>
      </w:r>
      <w:r>
        <w:t xml:space="preserve">structured provenance field, suggested that 47 per cent of instruments recorded</w:t>
      </w:r>
      <w:r>
        <w:t xml:space="preserve"> </w:t>
      </w:r>
      <w:r>
        <w:t xml:space="preserve">an unreachable official source. The disciplined measure is 28.0 per cent of</w:t>
      </w:r>
      <w:r>
        <w:t xml:space="preserve"> </w:t>
      </w:r>
      <w:r>
        <w:t xml:space="preserve">instruments and 20.0 per cent of articles. The first figure was an artefact of</w:t>
      </w:r>
      <w:r>
        <w:t xml:space="preserve"> </w:t>
      </w:r>
      <w:r>
        <w:t xml:space="preserve">matching loosely-worded notes, and it is reported here because a reader</w:t>
      </w:r>
      <w:r>
        <w:t xml:space="preserve"> </w:t>
      </w:r>
      <w:r>
        <w:t xml:space="preserve">encountering both should know which to use and why.</w:t>
      </w:r>
    </w:p>
    <w:bookmarkEnd w:id="34"/>
    <w:bookmarkEnd w:id="35"/>
    <w:bookmarkStart w:id="37" w:name="what-it-took-to-obtain-the-text"/>
    <w:p>
      <w:pPr>
        <w:pStyle w:val="Heading1"/>
      </w:pPr>
      <w:r>
        <w:t xml:space="preserve">What it took to obtain the text</w:t>
      </w:r>
    </w:p>
    <w:p>
      <w:pPr>
        <w:pStyle w:val="FirstParagraph"/>
      </w:pPr>
      <w:r>
        <w:rPr>
          <w:iCs/>
          <w:i/>
        </w:rPr>
        <w:t xml:space="preserve">[Figure 1 near here — supplied as a separate file, fig1_access.eps]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friction documented in the build record, as a share of articles</w:t>
      </w:r>
      <w:r>
        <w:t xml:space="preserve"> </w:t>
      </w:r>
      <w:r>
        <w:t xml:space="preserve">and of instruments. The measures overlap: an instrument reached through an</w:t>
      </w:r>
      <w:r>
        <w:t xml:space="preserve"> </w:t>
      </w:r>
      <w:r>
        <w:t xml:space="preserve">archive because the live portal was down appears in both of the top two rows.</w:t>
      </w:r>
    </w:p>
    <w:bookmarkStart w:id="36" w:name="tab:access"/>
    <w:p>
      <w:pPr>
        <w:pStyle w:val="TableCaption"/>
      </w:pPr>
      <w:r>
        <w:t xml:space="preserve">Measured over the 11,704 articles whose status field is a provenance</w:t>
      </w:r>
      <w:r>
        <w:t xml:space="preserve"> </w:t>
      </w:r>
      <w:r>
        <w:t xml:space="preserve">statement, across 200 instruments.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Measured over the 11,704 articles whose status field is a provenance statement, across 200 instruments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Articles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Instruments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Official source unreachable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Reached through a web archive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source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optical or visual reconstruction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Defect recorded in the official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Multi-source cross-verification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87.5%</w:t>
            </w:r>
          </w:p>
        </w:tc>
      </w:tr>
    </w:tbl>
    <w:bookmarkEnd w:id="36"/>
    <w:p>
      <w:pPr>
        <w:pStyle w:val="BodyText"/>
      </w:pPr>
      <w:r>
        <w:t xml:space="preserve">Table 1 and Figure 1 give the result. Four things</w:t>
      </w:r>
      <w:r>
        <w:t xml:space="preserve"> </w:t>
      </w:r>
      <w:r>
        <w:t xml:space="preserve">in it are worth drawing out.</w:t>
      </w:r>
    </w:p>
    <w:p>
      <w:pPr>
        <w:pStyle w:val="BodyText"/>
      </w:pPr>
      <w:r>
        <w:rPr>
          <w:bCs/>
          <w:b/>
        </w:rPr>
        <w:t xml:space="preserve">The last row is the good news and it should be read first.</w:t>
      </w:r>
      <w:r>
        <w:t xml:space="preserve"> </w:t>
      </w:r>
      <w:r>
        <w:t xml:space="preserve">86.1 per</w:t>
      </w:r>
      <w:r>
        <w:t xml:space="preserve"> </w:t>
      </w:r>
      <w:r>
        <w:t xml:space="preserve">cent of articles were cross-verified against more than one source. This is not</w:t>
      </w:r>
      <w:r>
        <w:t xml:space="preserve"> </w:t>
      </w:r>
      <w:r>
        <w:t xml:space="preserve">a portrait of a corpus assembled carelessly from whatever was to hand, and the</w:t>
      </w:r>
      <w:r>
        <w:t xml:space="preserve"> </w:t>
      </w:r>
      <w:r>
        <w:t xml:space="preserve">other rows should be read in that light: they describe what a careful process</w:t>
      </w:r>
      <w:r>
        <w:t xml:space="preserve"> </w:t>
      </w:r>
      <w:r>
        <w:t xml:space="preserve">had to do, not what a careless one got away with.</w:t>
      </w:r>
    </w:p>
    <w:p>
      <w:pPr>
        <w:pStyle w:val="BodyText"/>
      </w:pPr>
      <w:r>
        <w:rPr>
          <w:bCs/>
          <w:b/>
        </w:rPr>
        <w:t xml:space="preserve">Unavailability and archive use are close, and they overlap by about</w:t>
      </w:r>
      <w:r>
        <w:rPr>
          <w:bCs/>
          <w:b/>
        </w:rPr>
        <w:t xml:space="preserve"> </w:t>
      </w:r>
      <w:r>
        <w:rPr>
          <w:bCs/>
          <w:b/>
        </w:rPr>
        <w:t xml:space="preserve">two thirds.</w:t>
      </w:r>
      <w:r>
        <w:t xml:space="preserve"> </w:t>
      </w:r>
      <w:r>
        <w:t xml:space="preserve">The totals are 20.0 per cent against 20.9 per cent, with 28.0 per</w:t>
      </w:r>
      <w:r>
        <w:t xml:space="preserve"> </w:t>
      </w:r>
      <w:r>
        <w:t xml:space="preserve">cent of instruments on both — but matching totals do not establish that the</w:t>
      </w:r>
      <w:r>
        <w:t xml:space="preserve"> </w:t>
      </w:r>
      <w:r>
        <w:t xml:space="preserve">same articles are involved, so the joint distribution is computed. Of the</w:t>
      </w:r>
      <w:r>
        <w:t xml:space="preserve"> </w:t>
      </w:r>
      <w:r>
        <w:t xml:space="preserve">articles whose official source was unreachable, 67.8 per cent were recovered</w:t>
      </w:r>
      <w:r>
        <w:t xml:space="preserve"> </w:t>
      </w:r>
      <w:r>
        <w:t xml:space="preserve">through an archive; of the articles obtained through an archive, 65.1 per cent</w:t>
      </w:r>
      <w:r>
        <w:t xml:space="preserve"> </w:t>
      </w:r>
      <w:r>
        <w:t xml:space="preserve">had a recorded unavailability. The archive is mostly not supplying different or</w:t>
      </w:r>
      <w:r>
        <w:t xml:space="preserve"> </w:t>
      </w:r>
      <w:r>
        <w:t xml:space="preserve">better material: it is supplying the official material, at a moment when the</w:t>
      </w:r>
      <w:r>
        <w:t xml:space="preserve"> </w:t>
      </w:r>
      <w:r>
        <w:t xml:space="preserve">official channel could not. The remainders matter too, and neither is small:</w:t>
      </w:r>
      <w:r>
        <w:t xml:space="preserve"> </w:t>
      </w:r>
      <w:r>
        <w:t xml:space="preserve">852 articles used an archive with no unavailability recorded — an archived</w:t>
      </w:r>
      <w:r>
        <w:t xml:space="preserve"> </w:t>
      </w:r>
      <w:r>
        <w:t xml:space="preserve">capture preferred for its stability, or consulted to check whether a live page</w:t>
      </w:r>
      <w:r>
        <w:t xml:space="preserve"> </w:t>
      </w:r>
      <w:r>
        <w:t xml:space="preserve">had changed — and 754 record an unavailability that no archive resolved.</w:t>
      </w:r>
    </w:p>
    <w:p>
      <w:pPr>
        <w:pStyle w:val="BodyText"/>
      </w:pPr>
      <w:r>
        <w:rPr>
          <w:bCs/>
          <w:b/>
        </w:rPr>
        <w:t xml:space="preserve">Optical reconstruction is an instrument-level burden.</w:t>
      </w:r>
      <w:r>
        <w:t xml:space="preserve"> </w:t>
      </w:r>
      <w:r>
        <w:t xml:space="preserve">8.2 per cent of</w:t>
      </w:r>
      <w:r>
        <w:t xml:space="preserve"> </w:t>
      </w:r>
      <w:r>
        <w:t xml:space="preserve">articles but 14.0 per cent of instruments. The sources that had to be read as</w:t>
      </w:r>
      <w:r>
        <w:t xml:space="preserve"> </w:t>
      </w:r>
      <w:r>
        <w:t xml:space="preserve">images — scanned resolutions, PDFs with broken text layers, ministry</w:t>
      </w:r>
      <w:r>
        <w:t xml:space="preserve"> </w:t>
      </w:r>
      <w:r>
        <w:t xml:space="preserve">documents published as pictures of pages — are disproportionately short</w:t>
      </w:r>
      <w:r>
        <w:t xml:space="preserve"> </w:t>
      </w:r>
      <w:r>
        <w:t xml:space="preserve">instruments. One in seven instruments in this corpus could not be read by</w:t>
      </w:r>
      <w:r>
        <w:t xml:space="preserve"> </w:t>
      </w:r>
      <w:r>
        <w:t xml:space="preserve">machine at all without an optical pass, and each such pass is an opportunity</w:t>
      </w:r>
      <w:r>
        <w:t xml:space="preserve"> </w:t>
      </w:r>
      <w:r>
        <w:t xml:space="preserve">for a silent error that no downstream user can detect.</w:t>
      </w:r>
    </w:p>
    <w:p>
      <w:pPr>
        <w:pStyle w:val="BodyText"/>
      </w:pPr>
      <w:r>
        <w:rPr>
          <w:bCs/>
          <w:b/>
        </w:rPr>
        <w:t xml:space="preserve">Defects in the official text are rarer than access failures but not</w:t>
      </w:r>
      <w:r>
        <w:rPr>
          <w:bCs/>
          <w:b/>
        </w:rPr>
        <w:t xml:space="preserve"> </w:t>
      </w:r>
      <w:r>
        <w:rPr>
          <w:bCs/>
          <w:b/>
        </w:rPr>
        <w:t xml:space="preserve">rare.</w:t>
      </w:r>
      <w:r>
        <w:t xml:space="preserve"> </w:t>
      </w:r>
      <w:r>
        <w:t xml:space="preserve">4.9 per cent of articles carry a record of a defect in the source</w:t>
      </w:r>
      <w:r>
        <w:t xml:space="preserve"> </w:t>
      </w:r>
      <w:r>
        <w:t xml:space="preserve">itself: a typographical error preserved rather than silently corrected,</w:t>
      </w:r>
      <w:r>
        <w:t xml:space="preserve"> </w:t>
      </w:r>
      <w:r>
        <w:t xml:space="preserve">ligature corruption from PDF extraction, a scrambled text layer, a truncated</w:t>
      </w:r>
      <w:r>
        <w:t xml:space="preserve"> </w:t>
      </w:r>
      <w:r>
        <w:t xml:space="preserve">page. These are recorded because the build policy was to preserve source</w:t>
      </w:r>
      <w:r>
        <w:t xml:space="preserve"> </w:t>
      </w:r>
      <w:r>
        <w:t xml:space="preserve">defects verbatim and document them, rather than to tidy them. A corpus that</w:t>
      </w:r>
      <w:r>
        <w:t xml:space="preserve"> </w:t>
      </w:r>
      <w:r>
        <w:t xml:space="preserve">tidies them looks cleaner and tells its users less.</w:t>
      </w:r>
    </w:p>
    <w:bookmarkEnd w:id="37"/>
    <w:bookmarkStart w:id="39" w:name="the-strength-of-the-evidence"/>
    <w:p>
      <w:pPr>
        <w:pStyle w:val="Heading1"/>
      </w:pPr>
      <w:r>
        <w:t xml:space="preserve">The strength of the evidence</w:t>
      </w:r>
    </w:p>
    <w:p>
      <w:pPr>
        <w:pStyle w:val="FirstParagraph"/>
      </w:pPr>
      <w:r>
        <w:rPr>
          <w:iCs/>
          <w:i/>
        </w:rPr>
        <w:t xml:space="preserve">[Figure 2 near here — supplied as a separate file, fig2_tiers.eps]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Verification tiers weighted by article. The tiers are ordinal, from</w:t>
      </w:r>
      <w:r>
        <w:t xml:space="preserve"> </w:t>
      </w:r>
      <w:r>
        <w:t xml:space="preserve">two or more agreeing official sources to a single source or evidence that</w:t>
      </w:r>
      <w:r>
        <w:t xml:space="preserve"> </w:t>
      </w:r>
      <w:r>
        <w:t xml:space="preserve">varies within the instrument.</w:t>
      </w:r>
    </w:p>
    <w:p>
      <w:pPr>
        <w:pStyle w:val="BodyText"/>
      </w:pPr>
      <w:r>
        <w:t xml:space="preserve">Figure 2 weights the hand-assigned tiers by article. Just under</w:t>
      </w:r>
      <w:r>
        <w:t xml:space="preserve"> </w:t>
      </w:r>
      <w:r>
        <w:t xml:space="preserve">two thirds of the corpus rests on two or more official sources in agreement.</w:t>
      </w:r>
      <w:r>
        <w:t xml:space="preserve"> </w:t>
      </w:r>
      <w:r>
        <w:t xml:space="preserve">The remaining third does not, and 17.0 per cent has no cross-verified official</w:t>
      </w:r>
      <w:r>
        <w:t xml:space="preserve"> </w:t>
      </w:r>
      <w:r>
        <w:t xml:space="preserve">primary source at all: 4.5 per cent because no official source could be reached,</w:t>
      </w:r>
      <w:r>
        <w:t xml:space="preserve"> </w:t>
      </w:r>
      <w:r>
        <w:t xml:space="preserve">and 12.5 per cent because the evidence is single-source or varies within the</w:t>
      </w:r>
      <w:r>
        <w:t xml:space="preserve"> </w:t>
      </w:r>
      <w:r>
        <w:t xml:space="preserve">instrument.</w:t>
      </w:r>
    </w:p>
    <w:bookmarkStart w:id="38" w:name="the-direction-of-the-error"/>
    <w:p>
      <w:pPr>
        <w:pStyle w:val="Heading2"/>
      </w:pPr>
      <w:r>
        <w:t xml:space="preserve">The direction of the error</w:t>
      </w:r>
    </w:p>
    <w:p>
      <w:pPr>
        <w:pStyle w:val="FirstParagraph"/>
      </w:pPr>
      <w:r>
        <w:t xml:space="preserve">That 17.0 per cent is an underestimate, and it is worth being precise about</w:t>
      </w:r>
      <w:r>
        <w:t xml:space="preserve"> </w:t>
      </w:r>
      <w:r>
        <w:t xml:space="preserve">why, because the alternative — asserting that a convenient figure is</w:t>
      </w:r>
      <w:r>
        <w:t xml:space="preserve"> </w:t>
      </w:r>
      <w:r>
        <w:t xml:space="preserve">conservative — is exactly the move a reader should distrust.</w:t>
      </w:r>
    </w:p>
    <w:p>
      <w:pPr>
        <w:pStyle w:val="BodyText"/>
      </w:pPr>
      <w:r>
        <w:t xml:space="preserve">Not every instrument in the corpus has article-level verified records, and the</w:t>
      </w:r>
      <w:r>
        <w:t xml:space="preserve"> </w:t>
      </w:r>
      <w:r>
        <w:t xml:space="preserve">ones that do are not a random draw. Coverage by tier is 87 per cent for tier 1,</w:t>
      </w:r>
      <w:r>
        <w:t xml:space="preserve"> </w:t>
      </w:r>
      <w:r>
        <w:t xml:space="preserve">59 per cent for tier 2, 28 per cent for tier 3 and 73 per cent for tier 4. The</w:t>
      </w:r>
      <w:r>
        <w:t xml:space="preserve"> </w:t>
      </w:r>
      <w:r>
        <w:t xml:space="preserve">pattern is not monotonic, but tier 3 — the instruments whose official source</w:t>
      </w:r>
      <w:r>
        <w:t xml:space="preserve"> </w:t>
      </w:r>
      <w:r>
        <w:t xml:space="preserve">could not be reached at all — is by a wide margin the least represented. The</w:t>
      </w:r>
      <w:r>
        <w:t xml:space="preserve"> </w:t>
      </w:r>
      <w:r>
        <w:t xml:space="preserve">instruments most likely to be missing from the article-weighted measure are the</w:t>
      </w:r>
      <w:r>
        <w:t xml:space="preserve"> </w:t>
      </w:r>
      <w:r>
        <w:t xml:space="preserve">instruments whose evidence is weakest. A registry-wide count of instruments,</w:t>
      </w:r>
      <w:r>
        <w:t xml:space="preserve"> </w:t>
      </w:r>
      <w:r>
        <w:t xml:space="preserve">which does not have this problem, puts tiers 3 and 4 together at 76 of 291</w:t>
      </w:r>
      <w:r>
        <w:t xml:space="preserve"> </w:t>
      </w:r>
      <w:r>
        <w:t xml:space="preserve">instruments, or 26 per cent.</w:t>
      </w:r>
    </w:p>
    <w:bookmarkEnd w:id="38"/>
    <w:bookmarkEnd w:id="39"/>
    <w:bookmarkStart w:id="41" w:name="X5f8de5ef649a686f2c18514a801be1e9906b752"/>
    <w:p>
      <w:pPr>
        <w:pStyle w:val="Heading1"/>
      </w:pPr>
      <w:r>
        <w:t xml:space="preserve">When the official record disagrees with itself</w:t>
      </w:r>
    </w:p>
    <w:p>
      <w:pPr>
        <w:pStyle w:val="FirstParagraph"/>
      </w:pPr>
      <w:r>
        <w:t xml:space="preserve">The sharpest cases are the ones where the problem is not access but</w:t>
      </w:r>
      <w:r>
        <w:t xml:space="preserve"> </w:t>
      </w:r>
      <w:r>
        <w:t xml:space="preserve">consistency. In four instruments the build record documents the official source</w:t>
      </w:r>
      <w:r>
        <w:t xml:space="preserve"> </w:t>
      </w:r>
      <w:r>
        <w:t xml:space="preserve">contradicting itself, across nine articles in total.</w:t>
      </w:r>
    </w:p>
    <w:p>
      <w:pPr>
        <w:pStyle w:val="BodyText"/>
      </w:pPr>
      <w:r>
        <w:t xml:space="preserve">A note on that count, because it is easy to inflate. A provenance string is</w:t>
      </w:r>
      <w:r>
        <w:t xml:space="preserve"> </w:t>
      </w:r>
      <w:r>
        <w:t xml:space="preserve">attached to every article of the instrument it describes, so it records the</w:t>
      </w:r>
      <w:r>
        <w:t xml:space="preserve"> </w:t>
      </w:r>
      <w:r>
        <w:t xml:space="preserve">scope of the</w:t>
      </w:r>
      <w:r>
        <w:t xml:space="preserve"> </w:t>
      </w:r>
      <w:r>
        <w:rPr>
          <w:iCs/>
          <w:i/>
        </w:rPr>
        <w:t xml:space="preserve">verification route</w:t>
      </w:r>
      <w:r>
        <w:t xml:space="preserve">, not the scope of the problem. The</w:t>
      </w:r>
      <w:r>
        <w:t xml:space="preserve"> </w:t>
      </w:r>
      <w:r>
        <w:t xml:space="preserve">Environmental Law’s string rides on all 49 of its articles; its registry note</w:t>
      </w:r>
      <w:r>
        <w:t xml:space="preserve"> </w:t>
      </w:r>
      <w:r>
        <w:t xml:space="preserve">records that 48 matched verbatim across three sources and one did not. The</w:t>
      </w:r>
      <w:r>
        <w:t xml:space="preserve"> </w:t>
      </w:r>
      <w:r>
        <w:t xml:space="preserve">figure below is therefore read from each instrument’s own account of its</w:t>
      </w:r>
      <w:r>
        <w:t xml:space="preserve"> </w:t>
      </w:r>
      <w:r>
        <w:t xml:space="preserve">discrepancy, and the count of articles merely carrying one of these strings —</w:t>
      </w:r>
      <w:r>
        <w:t xml:space="preserve"> </w:t>
      </w:r>
      <w:r>
        <w:t xml:space="preserve">57 — is reported in the results file as the upper bound it is.</w:t>
      </w:r>
    </w:p>
    <w:p>
      <w:pPr>
        <w:pStyle w:val="BodyText"/>
      </w:pPr>
      <w:r>
        <w:t xml:space="preserve">The pattern in three of the four is the same. The legislative portal displays a</w:t>
      </w:r>
      <w:r>
        <w:t xml:space="preserve"> </w:t>
      </w:r>
      <w:r>
        <w:t xml:space="preserve">consolidated article, and the same portal publishes a change log recording the</w:t>
      </w:r>
      <w:r>
        <w:t xml:space="preserve"> </w:t>
      </w:r>
      <w:r>
        <w:t xml:space="preserve">amendments made to it; the two do not agree, because the change log has been</w:t>
      </w:r>
      <w:r>
        <w:t xml:space="preserve"> </w:t>
      </w:r>
      <w:r>
        <w:t xml:space="preserve">updated and the displayed body has not.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Press Law</w:t>
      </w:r>
      <w:r>
        <w:t xml:space="preserve"> </w:t>
      </w:r>
      <w:r>
        <w:t xml:space="preserve">this affects six articles — 5, 9, 36, 37, 38 and 40</w:t>
      </w:r>
      <w:r>
        <w:t xml:space="preserve"> </w:t>
      </w:r>
      <w:r>
        <w:t xml:space="preserve">— for each of which the portal simultaneously carries a changed-article marker</w:t>
      </w:r>
      <w:r>
        <w:t xml:space="preserve"> </w:t>
      </w:r>
      <w:r>
        <w:t xml:space="preserve">and a fully quoted amendment log while its main displayed body still shows the</w:t>
      </w:r>
      <w:r>
        <w:t xml:space="preserve"> </w:t>
      </w:r>
      <w:r>
        <w:t xml:space="preserve">pre-amendment text.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Law of Engineering Practice</w:t>
      </w:r>
      <w:r>
        <w:t xml:space="preserve"> </w:t>
      </w:r>
      <w:r>
        <w:t xml:space="preserve">it affects article 1, and the</w:t>
      </w:r>
      <w:r>
        <w:t xml:space="preserve"> </w:t>
      </w:r>
      <w:r>
        <w:t xml:space="preserve">disagreement is three-way rather than two: the portal’s change log quotes a</w:t>
      </w:r>
      <w:r>
        <w:t xml:space="preserve"> </w:t>
      </w:r>
      <w:r>
        <w:t xml:space="preserve">Council of Ministers resolution substituting a ministry name, while the</w:t>
      </w:r>
      <w:r>
        <w:t xml:space="preserve"> </w:t>
      </w:r>
      <w:r>
        <w:t xml:space="preserve">portal’s own main body has shown a third, different wording at every snapshot</w:t>
      </w:r>
      <w:r>
        <w:t xml:space="preserve"> </w:t>
      </w:r>
      <w:r>
        <w:t xml:space="preserve">checked since 2019 — a wording that predates the resolution.</w:t>
      </w:r>
      <w:r>
        <w:rPr>
          <w:rStyle w:val="FootnoteReference"/>
        </w:rPr>
        <w:footnoteReference w:id="40"/>
      </w:r>
      <w:r>
        <w:t xml:space="preserve"> </w:t>
      </w:r>
      <w:r>
        <w:t xml:space="preserve">The professional body’s own published</w:t>
      </w:r>
      <w:r>
        <w:t xml:space="preserve"> </w:t>
      </w:r>
      <w:r>
        <w:t xml:space="preserve">PDF agrees with neither, and the corpus records the case as unresolved.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Travel Documents Law</w:t>
      </w:r>
      <w:r>
        <w:t xml:space="preserve"> </w:t>
      </w:r>
      <w:r>
        <w:t xml:space="preserve">it affects article 6, where the portal’s</w:t>
      </w:r>
      <w:r>
        <w:t xml:space="preserve"> </w:t>
      </w:r>
      <w:r>
        <w:t xml:space="preserve">amendment log records an amendment and omits the decree citation for it</w:t>
      </w:r>
      <w:r>
        <w:t xml:space="preserve"> </w:t>
      </w:r>
      <w:r>
        <w:t xml:space="preserve">entirely; the citation was recovered from a secondary source.</w:t>
      </w:r>
    </w:p>
    <w:p>
      <w:pPr>
        <w:pStyle w:val="BodyText"/>
      </w:pPr>
      <w:r>
        <w:t xml:space="preserve">The fourth is the</w:t>
      </w:r>
      <w:r>
        <w:t xml:space="preserve"> </w:t>
      </w:r>
      <w:r>
        <w:rPr>
          <w:bCs/>
          <w:b/>
        </w:rPr>
        <w:t xml:space="preserve">Environmental Law</w:t>
      </w:r>
      <w:r>
        <w:t xml:space="preserve"> </w:t>
      </w:r>
      <w:r>
        <w:t xml:space="preserve">article with which this article</w:t>
      </w:r>
      <w:r>
        <w:t xml:space="preserve"> </w:t>
      </w:r>
      <w:r>
        <w:t xml:space="preserve">opened. There the disagreement is confined to a single definition —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competent authority</w:t>
      </w:r>
      <w:r>
        <w:t xml:space="preserve">’</w:t>
      </w:r>
      <w:r>
        <w:t xml:space="preserve"> </w:t>
      </w:r>
      <w:r>
        <w:t xml:space="preserve">in article 1 — where the portal’s per-article amendment</w:t>
      </w:r>
      <w:r>
        <w:t xml:space="preserve"> </w:t>
      </w:r>
      <w:r>
        <w:t xml:space="preserve">log gives a current wording that its own main running text does not carry. It</w:t>
      </w:r>
      <w:r>
        <w:t xml:space="preserve"> </w:t>
      </w:r>
      <w:r>
        <w:t xml:space="preserve">was resolved against two independent sources outside the portal, and the corpus</w:t>
      </w:r>
      <w:r>
        <w:t xml:space="preserve"> </w:t>
      </w:r>
      <w:r>
        <w:t xml:space="preserve">flags it as warranting dedicated legal review rather than treating it as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Two things follow. The first is practical: a researcher relying on a single</w:t>
      </w:r>
      <w:r>
        <w:t xml:space="preserve"> </w:t>
      </w:r>
      <w:r>
        <w:t xml:space="preserve">retrieval from a single official page has no way to detect any of this, because</w:t>
      </w:r>
      <w:r>
        <w:t xml:space="preserve"> </w:t>
      </w:r>
      <w:r>
        <w:t xml:space="preserve">detecting it requires reading two parts of the same portal against each other</w:t>
      </w:r>
      <w:r>
        <w:t xml:space="preserve"> </w:t>
      </w:r>
      <w:r>
        <w:t xml:space="preserve">and noticing that they differ. The second is that a consolidated text and its</w:t>
      </w:r>
      <w:r>
        <w:t xml:space="preserve"> </w:t>
      </w:r>
      <w:r>
        <w:t xml:space="preserve">own amendment history are two claims about the law, and a system that publishes</w:t>
      </w:r>
      <w:r>
        <w:t xml:space="preserve"> </w:t>
      </w:r>
      <w:r>
        <w:t xml:space="preserve">both without reconciling them has published a contradiction. Sixteen</w:t>
      </w:r>
      <w:r>
        <w:t xml:space="preserve"> </w:t>
      </w:r>
      <w:r>
        <w:t xml:space="preserve">instruments in this corpus carry a documented staleness risk of exactly this</w:t>
      </w:r>
      <w:r>
        <w:t xml:space="preserve"> </w:t>
      </w:r>
      <w:r>
        <w:t xml:space="preserve">kind.</w:t>
      </w:r>
    </w:p>
    <w:bookmarkEnd w:id="41"/>
    <w:bookmarkStart w:id="46" w:name="what-follows"/>
    <w:p>
      <w:pPr>
        <w:pStyle w:val="Heading1"/>
      </w:pPr>
      <w:r>
        <w:t xml:space="preserve">What follows</w:t>
      </w:r>
    </w:p>
    <w:bookmarkStart w:id="42" w:name="X165abe60aa66f9047eebda620881af46c65ea7e"/>
    <w:p>
      <w:pPr>
        <w:pStyle w:val="Heading4"/>
      </w:pPr>
      <w:r>
        <w:t xml:space="preserve">Cite the retrieval, not just the provision.</w:t>
      </w:r>
    </w:p>
    <w:p>
      <w:pPr>
        <w:pStyle w:val="FirstParagraph"/>
      </w:pPr>
      <w:r>
        <w:t xml:space="preserve">If the official source</w:t>
      </w:r>
      <w:r>
        <w:t xml:space="preserve"> </w:t>
      </w:r>
      <w:r>
        <w:t xml:space="preserve">resolves four times out of five at best, then a citation that names only the</w:t>
      </w:r>
      <w:r>
        <w:t xml:space="preserve"> </w:t>
      </w:r>
      <w:r>
        <w:t xml:space="preserve">instrument and the article is an incomplete instruction. What is missing is</w:t>
      </w:r>
      <w:r>
        <w:t xml:space="preserve"> </w:t>
      </w:r>
      <w:r>
        <w:t xml:space="preserve">cheap to add: the date of retrieval and, where the live source failed, the</w:t>
      </w:r>
      <w:r>
        <w:t xml:space="preserve"> </w:t>
      </w:r>
      <w:r>
        <w:t xml:space="preserve">archived capture actually used. Legal citation systems already accommodate</w:t>
      </w:r>
      <w:r>
        <w:t xml:space="preserve"> </w:t>
      </w:r>
      <w:r>
        <w:t xml:space="preserve">‘</w:t>
      </w:r>
      <w:r>
        <w:t xml:space="preserve">accessed</w:t>
      </w:r>
      <w:r>
        <w:t xml:space="preserve">’</w:t>
      </w:r>
      <w:r>
        <w:t xml:space="preserve"> </w:t>
      </w:r>
      <w:r>
        <w:t xml:space="preserve">dates for online material; the argument here is that statutory</w:t>
      </w:r>
      <w:r>
        <w:t xml:space="preserve"> </w:t>
      </w:r>
      <w:r>
        <w:t xml:space="preserve">citation needs them too, for the same reason and with better evidence.</w:t>
      </w:r>
    </w:p>
    <w:bookmarkEnd w:id="42"/>
    <w:bookmarkStart w:id="43" w:name="X43497b459000b81ec67fa566a2b83fabc7c51d1"/>
    <w:p>
      <w:pPr>
        <w:pStyle w:val="Heading4"/>
      </w:pPr>
      <w:r>
        <w:t xml:space="preserve">Ship the strength of the evidence with the text.</w:t>
      </w:r>
    </w:p>
    <w:p>
      <w:pPr>
        <w:pStyle w:val="FirstParagraph"/>
      </w:pPr>
      <w:r>
        <w:t xml:space="preserve">The tier scheme</w:t>
      </w:r>
      <w:r>
        <w:t xml:space="preserve"> </w:t>
      </w:r>
      <w:r>
        <w:t xml:space="preserve">used here is crude — four levels, assigned by hand — and it is more than</w:t>
      </w:r>
      <w:r>
        <w:t xml:space="preserve"> </w:t>
      </w:r>
      <w:r>
        <w:t xml:space="preserve">almost any legal corpus publishes. A reader of a corpus that ships text alone</w:t>
      </w:r>
      <w:r>
        <w:t xml:space="preserve"> </w:t>
      </w:r>
      <w:r>
        <w:t xml:space="preserve">must assume uniform reliability, and this corpus demonstrates that the</w:t>
      </w:r>
      <w:r>
        <w:t xml:space="preserve"> </w:t>
      </w:r>
      <w:r>
        <w:t xml:space="preserve">assumption is false within a single collection: the same file format, the same</w:t>
      </w:r>
      <w:r>
        <w:t xml:space="preserve"> </w:t>
      </w:r>
      <w:r>
        <w:t xml:space="preserve">schema, the same apparent authority, and evidence ranging from two agreeing</w:t>
      </w:r>
      <w:r>
        <w:t xml:space="preserve"> </w:t>
      </w:r>
      <w:r>
        <w:t xml:space="preserve">official sources to a single scan read by machine. The cost of publishing a</w:t>
      </w:r>
      <w:r>
        <w:t xml:space="preserve"> </w:t>
      </w:r>
      <w:r>
        <w:t xml:space="preserve">tier is one field.</w:t>
      </w:r>
    </w:p>
    <w:bookmarkEnd w:id="43"/>
    <w:bookmarkStart w:id="44" w:name="Xac528189634453d9528420936a824e32d1f44cb"/>
    <w:p>
      <w:pPr>
        <w:pStyle w:val="Heading4"/>
      </w:pPr>
      <w:r>
        <w:t xml:space="preserve">Treat the archive as infrastructure, and fund it accordingly.</w:t>
      </w:r>
    </w:p>
    <w:p>
      <w:pPr>
        <w:pStyle w:val="FirstParagraph"/>
      </w:pPr>
      <w:r>
        <w:t xml:space="preserve">One</w:t>
      </w:r>
      <w:r>
        <w:t xml:space="preserve"> </w:t>
      </w:r>
      <w:r>
        <w:t xml:space="preserve">article in five in this corpus reached it through a web archive. That</w:t>
      </w:r>
      <w:r>
        <w:t xml:space="preserve"> </w:t>
      </w:r>
      <w:r>
        <w:t xml:space="preserve">dependency is invisible in the finished product and total in its effect: had</w:t>
      </w:r>
      <w:r>
        <w:t xml:space="preserve"> </w:t>
      </w:r>
      <w:r>
        <w:t xml:space="preserve">the captures not existed, those texts could not have been verified at the time</w:t>
      </w:r>
      <w:r>
        <w:t xml:space="preserve"> </w:t>
      </w:r>
      <w:r>
        <w:t xml:space="preserve">they were collected, and in some cases could not have been obtained at all.</w:t>
      </w:r>
      <w:r>
        <w:t xml:space="preserve"> </w:t>
      </w:r>
      <w:r>
        <w:t xml:space="preserve">Web archives occupy this position for legal research without any mandate to do</w:t>
      </w:r>
      <w:r>
        <w:t xml:space="preserve"> </w:t>
      </w:r>
      <w:r>
        <w:t xml:space="preserve">so and without any legal recognition of the role. Whether they should is a</w:t>
      </w:r>
      <w:r>
        <w:t xml:space="preserve"> </w:t>
      </w:r>
      <w:r>
        <w:t xml:space="preserve">question for the institutions that publish law, not for the archives.</w:t>
      </w:r>
    </w:p>
    <w:bookmarkEnd w:id="44"/>
    <w:bookmarkStart w:id="45" w:name="use-a-vocabulary-not-a-sentence."/>
    <w:p>
      <w:pPr>
        <w:pStyle w:val="Heading4"/>
      </w:pPr>
      <w:r>
        <w:t xml:space="preserve">Use a vocabulary, not a sentence.</w:t>
      </w:r>
    </w:p>
    <w:p>
      <w:pPr>
        <w:pStyle w:val="FirstParagraph"/>
      </w:pPr>
      <w:r>
        <w:t xml:space="preserve">The finding that indicts this</w:t>
      </w:r>
      <w:r>
        <w:t xml:space="preserve"> </w:t>
      </w:r>
      <w:r>
        <w:t xml:space="preserve">corpus is the one most useful to the next builder. Free-text provenance decays:</w:t>
      </w:r>
      <w:r>
        <w:t xml:space="preserve"> </w:t>
      </w:r>
      <w:r>
        <w:t xml:space="preserve">it accumulates conventions, absorbs values that belong in other fields, and</w:t>
      </w:r>
      <w:r>
        <w:t xml:space="preserve"> </w:t>
      </w:r>
      <w:r>
        <w:t xml:space="preserve">becomes unanalysable at precisely the scale where analysis matters. Nearly a</w:t>
      </w:r>
      <w:r>
        <w:t xml:space="preserve"> </w:t>
      </w:r>
      <w:r>
        <w:t xml:space="preserve">quarter of the status values here are not provenance statements at all. A short</w:t>
      </w:r>
      <w:r>
        <w:t xml:space="preserve"> </w:t>
      </w:r>
      <w:r>
        <w:t xml:space="preserve">controlled vocabulary — source class, retrieval route, cross-verification</w:t>
      </w:r>
      <w:r>
        <w:t xml:space="preserve"> </w:t>
      </w:r>
      <w:r>
        <w:t xml:space="preserve">count, defect flag — would have carried the same information, and this</w:t>
      </w:r>
      <w:r>
        <w:t xml:space="preserve"> </w:t>
      </w:r>
      <w:r>
        <w:t xml:space="preserve">article’s analysis would have taken a tenth of the effort and made none of the</w:t>
      </w:r>
      <w:r>
        <w:t xml:space="preserve"> </w:t>
      </w:r>
      <w:r>
        <w:t xml:space="preserve">judgement calls that section 3 had to disclose.</w:t>
      </w:r>
    </w:p>
    <w:bookmarkEnd w:id="45"/>
    <w:bookmarkEnd w:id="46"/>
    <w:bookmarkStart w:id="52" w:name="limitations"/>
    <w:p>
      <w:pPr>
        <w:pStyle w:val="Heading1"/>
      </w:pPr>
      <w:r>
        <w:t xml:space="preserve">Limitations</w:t>
      </w:r>
    </w:p>
    <w:bookmarkStart w:id="47" w:name="one-corpus-one-jurisdiction-one-build."/>
    <w:p>
      <w:pPr>
        <w:pStyle w:val="Heading4"/>
      </w:pPr>
      <w:r>
        <w:t xml:space="preserve">One corpus, one jurisdiction, one build.</w:t>
      </w:r>
    </w:p>
    <w:p>
      <w:pPr>
        <w:pStyle w:val="FirstParagraph"/>
      </w:pPr>
      <w:r>
        <w:t xml:space="preserve">Everything here describes</w:t>
      </w:r>
      <w:r>
        <w:t xml:space="preserve"> </w:t>
      </w:r>
      <w:r>
        <w:t xml:space="preserve">the sources of Saudi legislation as encountered during a particular</w:t>
      </w:r>
      <w:r>
        <w:t xml:space="preserve"> </w:t>
      </w:r>
      <w:r>
        <w:t xml:space="preserve">construction period. Availability is a moving target; a portal unreachable then</w:t>
      </w:r>
      <w:r>
        <w:t xml:space="preserve"> </w:t>
      </w:r>
      <w:r>
        <w:t xml:space="preserve">may be reliable now, and the reverse. What generalises is the method and the</w:t>
      </w:r>
      <w:r>
        <w:t xml:space="preserve"> </w:t>
      </w:r>
      <w:r>
        <w:t xml:space="preserve">observation that the question is worth asking, not the specific percentages.</w:t>
      </w:r>
    </w:p>
    <w:bookmarkEnd w:id="47"/>
    <w:bookmarkStart w:id="48" w:name="the-record-is-the-builders-own."/>
    <w:p>
      <w:pPr>
        <w:pStyle w:val="Heading4"/>
      </w:pPr>
      <w:r>
        <w:t xml:space="preserve">The record is the builder’s own.</w:t>
      </w:r>
    </w:p>
    <w:p>
      <w:pPr>
        <w:pStyle w:val="FirstParagraph"/>
      </w:pPr>
      <w:r>
        <w:t xml:space="preserve">The provenance strings were</w:t>
      </w:r>
      <w:r>
        <w:t xml:space="preserve"> </w:t>
      </w:r>
      <w:r>
        <w:t xml:space="preserve">written by the same project whose reliability they describe. There is no</w:t>
      </w:r>
      <w:r>
        <w:t xml:space="preserve"> </w:t>
      </w:r>
      <w:r>
        <w:t xml:space="preserve">independent audit, and a record of this kind cannot show what it failed to</w:t>
      </w:r>
      <w:r>
        <w:t xml:space="preserve"> </w:t>
      </w:r>
      <w:r>
        <w:t xml:space="preserve">notice. Its usefulness rests on having been written contemporaneously, article</w:t>
      </w:r>
      <w:r>
        <w:t xml:space="preserve"> </w:t>
      </w:r>
      <w:r>
        <w:t xml:space="preserve">by article, and on being published in full for inspection.</w:t>
      </w:r>
    </w:p>
    <w:bookmarkEnd w:id="48"/>
    <w:bookmarkStart w:id="49" w:name="Xfdda6233e4250e31218cf362a0db447148a2196"/>
    <w:p>
      <w:pPr>
        <w:pStyle w:val="Heading4"/>
      </w:pPr>
      <w:r>
        <w:t xml:space="preserve">Classification is by rule over free text.</w:t>
      </w:r>
    </w:p>
    <w:p>
      <w:pPr>
        <w:pStyle w:val="FirstParagraph"/>
      </w:pPr>
      <w:r>
        <w:t xml:space="preserve">Section 3</w:t>
      </w:r>
      <w:r>
        <w:t xml:space="preserve"> </w:t>
      </w:r>
      <w:r>
        <w:t xml:space="preserve">sets out the rule and the full string-to-classification table is published. It</w:t>
      </w:r>
      <w:r>
        <w:t xml:space="preserve"> </w:t>
      </w:r>
      <w:r>
        <w:t xml:space="preserve">is nonetheless a rule applied to sentences, and a different rule would give</w:t>
      </w:r>
      <w:r>
        <w:t xml:space="preserve"> </w:t>
      </w:r>
      <w:r>
        <w:t xml:space="preserve">somewhat different numbers. The direction of that uncertainty is not knowable</w:t>
      </w:r>
      <w:r>
        <w:t xml:space="preserve"> </w:t>
      </w:r>
      <w:r>
        <w:t xml:space="preserve">in advance, unlike the sample-coverage bias, which is.</w:t>
      </w:r>
    </w:p>
    <w:bookmarkEnd w:id="49"/>
    <w:bookmarkStart w:id="50" w:name="Xed737a2d8778432b22078b616a80869c7e685da"/>
    <w:p>
      <w:pPr>
        <w:pStyle w:val="Heading4"/>
      </w:pPr>
      <w:r>
        <w:t xml:space="preserve">‘</w:t>
      </w:r>
      <w:r>
        <w:t xml:space="preserve">Unreachable</w:t>
      </w:r>
      <w:r>
        <w:t xml:space="preserve">’</w:t>
      </w:r>
      <w:r>
        <w:t xml:space="preserve"> </w:t>
      </w:r>
      <w:r>
        <w:t xml:space="preserve">is a build-time observation, not a service-level</w:t>
      </w:r>
      <w:r>
        <w:t xml:space="preserve"> </w:t>
      </w:r>
      <w:r>
        <w:t xml:space="preserve">measurement.</w:t>
      </w:r>
    </w:p>
    <w:p>
      <w:pPr>
        <w:pStyle w:val="FirstParagraph"/>
      </w:pPr>
      <w:r>
        <w:t xml:space="preserve">The records document failures encountered by one collector, from</w:t>
      </w:r>
      <w:r>
        <w:t xml:space="preserve"> </w:t>
      </w:r>
      <w:r>
        <w:t xml:space="preserve">one network, over one period. They are not a monitoring study, and they cannot</w:t>
      </w:r>
      <w:r>
        <w:t xml:space="preserve"> </w:t>
      </w:r>
      <w:r>
        <w:t xml:space="preserve">distinguish an outage from a block, a rate limit, or a route that happened to</w:t>
      </w:r>
      <w:r>
        <w:t xml:space="preserve"> </w:t>
      </w:r>
      <w:r>
        <w:t xml:space="preserve">fail from where the request originated.</w:t>
      </w:r>
    </w:p>
    <w:bookmarkEnd w:id="50"/>
    <w:bookmarkStart w:id="51" w:name="article-level-coverage-is-uneven."/>
    <w:p>
      <w:pPr>
        <w:pStyle w:val="Heading4"/>
      </w:pPr>
      <w:r>
        <w:t xml:space="preserve">Article-level coverage is uneven.</w:t>
      </w:r>
    </w:p>
    <w:p>
      <w:pPr>
        <w:pStyle w:val="FirstParagraph"/>
      </w:pPr>
      <w:r>
        <w:t xml:space="preserve">As section 5.1 sets out, the</w:t>
      </w:r>
      <w:r>
        <w:t xml:space="preserve"> </w:t>
      </w:r>
      <w:r>
        <w:t xml:space="preserve">weakest tier is the least represented in the article-weighted measures. The</w:t>
      </w:r>
      <w:r>
        <w:t xml:space="preserve"> </w:t>
      </w:r>
      <w:r>
        <w:t xml:space="preserve">instrument-weighted figures do not have this problem and are reported alongside</w:t>
      </w:r>
      <w:r>
        <w:t xml:space="preserve"> </w:t>
      </w:r>
      <w:r>
        <w:t xml:space="preserve">throughout.</w:t>
      </w:r>
    </w:p>
    <w:bookmarkEnd w:id="51"/>
    <w:bookmarkEnd w:id="52"/>
    <w:bookmarkStart w:id="53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Four studies of this corpus have measured what a legal system contains, how its</w:t>
      </w:r>
      <w:r>
        <w:t xml:space="preserve"> </w:t>
      </w:r>
      <w:r>
        <w:t xml:space="preserve">instruments cite one another, whether they use a common vocabulary, and how</w:t>
      </w:r>
      <w:r>
        <w:t xml:space="preserve"> </w:t>
      </w:r>
      <w:r>
        <w:t xml:space="preserve">they change over time. Each rests on a foundation none of them examined: that</w:t>
      </w:r>
      <w:r>
        <w:t xml:space="preserve"> </w:t>
      </w:r>
      <w:r>
        <w:t xml:space="preserve">the text was there to be read, and was consistent, when it was collected.</w:t>
      </w:r>
    </w:p>
    <w:p>
      <w:pPr>
        <w:pStyle w:val="BodyText"/>
      </w:pPr>
      <w:r>
        <w:t xml:space="preserve">Examined, that foundation holds for about two thirds of the corpus and is</w:t>
      </w:r>
      <w:r>
        <w:t xml:space="preserve"> </w:t>
      </w:r>
      <w:r>
        <w:t xml:space="preserve">qualified for the rest. The official source could not be reached for one</w:t>
      </w:r>
      <w:r>
        <w:t xml:space="preserve"> </w:t>
      </w:r>
      <w:r>
        <w:t xml:space="preserve">article in five. One article in five arrived through a web archive, mostly a</w:t>
      </w:r>
      <w:r>
        <w:t xml:space="preserve"> </w:t>
      </w:r>
      <w:r>
        <w:t xml:space="preserve">capture of the very page that could not be reached live. One instrument in</w:t>
      </w:r>
      <w:r>
        <w:t xml:space="preserve"> </w:t>
      </w:r>
      <w:r>
        <w:t xml:space="preserve">seven required reading images. Seventeen per cent of the text has no</w:t>
      </w:r>
      <w:r>
        <w:t xml:space="preserve"> </w:t>
      </w:r>
      <w:r>
        <w:t xml:space="preserve">cross-verified official primary behind it, and that figure understates the</w:t>
      </w:r>
      <w:r>
        <w:t xml:space="preserve"> </w:t>
      </w:r>
      <w:r>
        <w:t xml:space="preserve">position because the instruments with the weakest evidence are the least likely</w:t>
      </w:r>
      <w:r>
        <w:t xml:space="preserve"> </w:t>
      </w:r>
      <w:r>
        <w:t xml:space="preserve">to be measured at all. In four instruments the official record contradicts</w:t>
      </w:r>
      <w:r>
        <w:t xml:space="preserve"> </w:t>
      </w:r>
      <w:r>
        <w:t xml:space="preserve">itself, and a reader consulting it once has no way to know.</w:t>
      </w:r>
    </w:p>
    <w:p>
      <w:pPr>
        <w:pStyle w:val="BodyText"/>
      </w:pPr>
      <w:r>
        <w:t xml:space="preserve">None of this makes the law unknowable, and none of it is an accusation against</w:t>
      </w:r>
      <w:r>
        <w:t xml:space="preserve"> </w:t>
      </w:r>
      <w:r>
        <w:t xml:space="preserve">the institutions that publish it. It is a description of a gap between how</w:t>
      </w:r>
      <w:r>
        <w:t xml:space="preserve"> </w:t>
      </w:r>
      <w:r>
        <w:t xml:space="preserve">digital legal research assumes its sources behave and how they were observed to</w:t>
      </w:r>
      <w:r>
        <w:t xml:space="preserve"> </w:t>
      </w:r>
      <w:r>
        <w:t xml:space="preserve">behave over one sustained attempt to use them. The remedy is not better</w:t>
      </w:r>
      <w:r>
        <w:t xml:space="preserve"> </w:t>
      </w:r>
      <w:r>
        <w:t xml:space="preserve">sources, which is nobody’s to promise. It is a record: cite the retrieval,</w:t>
      </w:r>
      <w:r>
        <w:t xml:space="preserve"> </w:t>
      </w:r>
      <w:r>
        <w:t xml:space="preserve">publish the strength of the evidence, and use a vocabulary that survives being</w:t>
      </w:r>
      <w:r>
        <w:t xml:space="preserve"> </w:t>
      </w:r>
      <w:r>
        <w:t xml:space="preserve">read by a machine. This corpus did two of those three, and the third is the</w:t>
      </w:r>
      <w:r>
        <w:t xml:space="preserve"> </w:t>
      </w:r>
      <w:r>
        <w:t xml:space="preserve">reason its own provenance field had to be classified before it could be</w:t>
      </w:r>
      <w:r>
        <w:t xml:space="preserve"> </w:t>
      </w:r>
      <w:r>
        <w:t xml:space="preserve">counted.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Environmental Law</w:t>
      </w:r>
      <w:r>
        <w:t xml:space="preserve"> </w:t>
      </w:r>
      <w:r>
        <w:t xml:space="preserve">(Royal Decree M/165, 19/11/1441H) art 1; the provenance record for the article</w:t>
      </w:r>
      <w:r>
        <w:t xml:space="preserve"> </w:t>
      </w:r>
      <w:r>
        <w:t xml:space="preserve">is published with the analysis code.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 and the scripts that reproduce every number and</w:t>
      </w:r>
      <w:r>
        <w:t xml:space="preserve"> </w:t>
      </w:r>
      <w:r>
        <w:t xml:space="preserve">figure here are openly archived; see the data availability statement.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Peter Henderson and others,</w:t>
      </w:r>
      <w:r>
        <w:t xml:space="preserve"> </w:t>
      </w:r>
      <w:r>
        <w:t xml:space="preserve">‘</w:t>
      </w:r>
      <w:r>
        <w:t xml:space="preserve">Pile of Law:</w:t>
      </w:r>
      <w:r>
        <w:t xml:space="preserve"> </w:t>
      </w:r>
      <w:r>
        <w:t xml:space="preserve">Learning Responsible Data Filtering from the Law and a 256GB Open-Source Legal</w:t>
      </w:r>
      <w:r>
        <w:t xml:space="preserve"> </w:t>
      </w:r>
      <w:r>
        <w:t xml:space="preserve">Dataset</w:t>
      </w:r>
      <w:r>
        <w:t xml:space="preserve">’</w:t>
      </w:r>
      <w:r>
        <w:t xml:space="preserve"> </w:t>
      </w:r>
      <w:r>
        <w:t xml:space="preserve">(NeurIPS 2022, Datasets and Benchmarks Track); Joel Niklaus and</w:t>
      </w:r>
      <w:r>
        <w:t xml:space="preserve"> </w:t>
      </w:r>
      <w:r>
        <w:t xml:space="preserve">others,</w:t>
      </w:r>
      <w:r>
        <w:t xml:space="preserve"> </w:t>
      </w:r>
      <w:r>
        <w:t xml:space="preserve">‘</w:t>
      </w:r>
      <w:r>
        <w:t xml:space="preserve">MultiLegalPile: A 689GB Multilingual Legal Corpus</w:t>
      </w:r>
      <w:r>
        <w:t xml:space="preserve">’</w:t>
      </w:r>
      <w:r>
        <w:t xml:space="preserve"> </w:t>
      </w:r>
      <w:r>
        <w:t xml:space="preserve">(Proceedings of the</w:t>
      </w:r>
      <w:r>
        <w:t xml:space="preserve"> </w:t>
      </w:r>
      <w:r>
        <w:t xml:space="preserve">62nd Annual Meeting of the Association for Computational Linguistics, 2024).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Timnit Gebru and others,</w:t>
      </w:r>
      <w:r>
        <w:t xml:space="preserve"> </w:t>
      </w:r>
      <w:r>
        <w:t xml:space="preserve">‘</w:t>
      </w:r>
      <w:r>
        <w:t xml:space="preserve">Datasheets for Datasets</w:t>
      </w:r>
      <w:r>
        <w:t xml:space="preserve">’</w:t>
      </w:r>
      <w:r>
        <w:t xml:space="preserve"> </w:t>
      </w:r>
      <w:r>
        <w:t xml:space="preserve">(2021) 64</w:t>
      </w:r>
      <w:r>
        <w:t xml:space="preserve"> </w:t>
      </w:r>
      <w:r>
        <w:t xml:space="preserve">Communications of the ACM 86; Emily M Bender and Batya Friedman,</w:t>
      </w:r>
      <w:r>
        <w:t xml:space="preserve"> </w:t>
      </w:r>
      <w:r>
        <w:t xml:space="preserve">‘</w:t>
      </w:r>
      <w:r>
        <w:t xml:space="preserve">Data</w:t>
      </w:r>
      <w:r>
        <w:t xml:space="preserve"> </w:t>
      </w:r>
      <w:r>
        <w:t xml:space="preserve">Statements for Natural Language Processing</w:t>
      </w:r>
      <w:r>
        <w:t xml:space="preserve">’</w:t>
      </w:r>
      <w:r>
        <w:t xml:space="preserve"> </w:t>
      </w:r>
      <w:r>
        <w:t xml:space="preserve">(2018) 6 Transactions of the</w:t>
      </w:r>
      <w:r>
        <w:t xml:space="preserve"> </w:t>
      </w:r>
      <w:r>
        <w:t xml:space="preserve">Association for Computational Linguistics 587.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Monica Palmirani and</w:t>
      </w:r>
      <w:r>
        <w:t xml:space="preserve"> </w:t>
      </w:r>
      <w:r>
        <w:t xml:space="preserve">Fabio Vitali,</w:t>
      </w:r>
      <w:r>
        <w:t xml:space="preserve"> </w:t>
      </w:r>
      <w:r>
        <w:t xml:space="preserve">‘</w:t>
      </w:r>
      <w:r>
        <w:t xml:space="preserve">Akoma-Ntoso for Legal Documents</w:t>
      </w:r>
      <w:r>
        <w:t xml:space="preserve">’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Legislative XML for</w:t>
      </w:r>
      <w:r>
        <w:rPr>
          <w:iCs/>
          <w:i/>
        </w:rPr>
        <w:t xml:space="preserve"> </w:t>
      </w:r>
      <w:r>
        <w:rPr>
          <w:iCs/>
          <w:i/>
        </w:rPr>
        <w:t xml:space="preserve">the Semantic Web</w:t>
      </w:r>
      <w:r>
        <w:t xml:space="preserve"> </w:t>
      </w:r>
      <w:r>
        <w:t xml:space="preserve">(Springer 2011) 75.</w:t>
      </w:r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Jonathan Zittrain, Kendra Albert and Lawrence</w:t>
      </w:r>
      <w:r>
        <w:t xml:space="preserve"> </w:t>
      </w:r>
      <w:r>
        <w:t xml:space="preserve">Lessig,</w:t>
      </w:r>
      <w:r>
        <w:t xml:space="preserve"> </w:t>
      </w:r>
      <w:r>
        <w:t xml:space="preserve">‘</w:t>
      </w:r>
      <w:r>
        <w:t xml:space="preserve">Perma: Scoping and Addressing the Problem of Link and Reference Rot in</w:t>
      </w:r>
      <w:r>
        <w:t xml:space="preserve"> </w:t>
      </w:r>
      <w:r>
        <w:t xml:space="preserve">Legal Citations</w:t>
      </w:r>
      <w:r>
        <w:t xml:space="preserve">’</w:t>
      </w:r>
      <w:r>
        <w:t xml:space="preserve"> </w:t>
      </w:r>
      <w:r>
        <w:t xml:space="preserve">(2014) 127 Harvard Law Review Forum 176.</w:t>
      </w:r>
    </w:p>
  </w:footnote>
  <w:footnote w:id="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Council</w:t>
      </w:r>
      <w:r>
        <w:t xml:space="preserve"> </w:t>
      </w:r>
      <w:r>
        <w:t xml:space="preserve">of Ministers Resolution 250, 7/4/1444H.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It Took to Read the Law: Access, Provenance and the Evidentiary Basis of a Digital Legal Corpus</dc:title>
  <dc:creator/>
  <cp:keywords/>
  <dcterms:created xsi:type="dcterms:W3CDTF">2026-08-21T08:23:32Z</dcterms:created>
  <dcterms:modified xsi:type="dcterms:W3CDTF">2026-08-21T08:23:32Z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