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Took</w:t>
      </w:r>
      <w:r>
        <w:t xml:space="preserve"> </w:t>
      </w:r>
      <w:r>
        <w:t xml:space="preserve">to</w:t>
      </w:r>
      <w:r>
        <w:t xml:space="preserve"> </w:t>
      </w:r>
      <w: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t xml:space="preserve">Law:</w:t>
      </w:r>
      <w:r>
        <w:br/>
      </w:r>
      <w:r>
        <w:t xml:space="preserve">Access,</w:t>
      </w:r>
      <w:r>
        <w:t xml:space="preserve"> </w:t>
      </w:r>
      <w: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Evidentiary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Digital</w:t>
      </w:r>
      <w:r>
        <w:t xml:space="preserve"> </w:t>
      </w:r>
      <w:r>
        <w:t xml:space="preserve">Legal</w:t>
      </w:r>
      <w:r>
        <w:t xml:space="preserve"> </w:t>
      </w:r>
      <w:r>
        <w:t xml:space="preserve">Corpus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Empirical legal research, legal information systems and legal AI all rest on</w:t>
      </w:r>
      <w:r>
        <w:t xml:space="preserve"> </w:t>
      </w:r>
      <w:r>
        <w:t xml:space="preserve">an assumption none of them states: that the official text of the law was</w:t>
      </w:r>
      <w:r>
        <w:t xml:space="preserve"> </w:t>
      </w:r>
      <w:r>
        <w:t xml:space="preserve">available, and was itself consistent, at the moment the text was collected.</w:t>
      </w:r>
      <w:r>
        <w:t xml:space="preserve"> </w:t>
      </w:r>
      <w:r>
        <w:t xml:space="preserve">This article tests that assumption against the record kept while building a</w:t>
      </w:r>
      <w:r>
        <w:t xml:space="preserve"> </w:t>
      </w:r>
      <w:r>
        <w:t xml:space="preserve">corpus of Saudi Arabian legislation. Every verified article carries a</w:t>
      </w:r>
      <w:r>
        <w:t xml:space="preserve"> </w:t>
      </w:r>
      <w:r>
        <w:t xml:space="preserve">provenance string naming the sources consulted and how they were reconciled,</w:t>
      </w:r>
      <w:r>
        <w:t xml:space="preserve"> </w:t>
      </w:r>
      <w:r>
        <w:t xml:space="preserve">and every instrument carries a hand-assigned verification tier. Measured over</w:t>
      </w:r>
      <w:r>
        <w:t xml:space="preserve"> </w:t>
      </w:r>
      <w:r>
        <w:t xml:space="preserve">the 11,704 articles whose record names its sources, the official source was</w:t>
      </w:r>
      <w:r>
        <w:t xml:space="preserve"> </w:t>
      </w:r>
      <w:r>
        <w:t xml:space="preserve">unreachable for 20.0 per cent of them, covering 28.0 per cent of instruments;</w:t>
      </w:r>
      <w:r>
        <w:t xml:space="preserve"> </w:t>
      </w:r>
      <w:r>
        <w:t xml:space="preserve">20.9 per cent were obtained through a web archive; 10.2 per cent rest on a</w:t>
      </w:r>
      <w:r>
        <w:t xml:space="preserve"> </w:t>
      </w:r>
      <w:r>
        <w:t xml:space="preserve">single source; 8.2 per cent required optical or visual reconstruction; and 4.9</w:t>
      </w:r>
      <w:r>
        <w:t xml:space="preserve"> </w:t>
      </w:r>
      <w:r>
        <w:t xml:space="preserve">per cent record a defect in the official text itself. Weighted by article, 17.0</w:t>
      </w:r>
      <w:r>
        <w:t xml:space="preserve"> </w:t>
      </w:r>
      <w:r>
        <w:t xml:space="preserve">per cent of the corpus has no cross-verified official primary source behind it,</w:t>
      </w:r>
      <w:r>
        <w:t xml:space="preserve"> </w:t>
      </w:r>
      <w:r>
        <w:t xml:space="preserve">and the coverage of the sample makes that an underestimate rather than an</w:t>
      </w:r>
      <w:r>
        <w:t xml:space="preserve"> </w:t>
      </w:r>
      <w:r>
        <w:t xml:space="preserve">overestimate. In four instruments the official record contradicts itself across nine</w:t>
      </w:r>
      <w:r>
        <w:t xml:space="preserve"> </w:t>
      </w:r>
      <w:r>
        <w:t xml:space="preserve">articles: the article the portal displays and the change log the same portal</w:t>
      </w:r>
      <w:r>
        <w:t xml:space="preserve"> </w:t>
      </w:r>
      <w:r>
        <w:t xml:space="preserve">publishes do not agree. Two conclusions follow. Web archives are not a convenience for legal</w:t>
      </w:r>
      <w:r>
        <w:t xml:space="preserve"> </w:t>
      </w:r>
      <w:r>
        <w:t xml:space="preserve">research but part of its load-bearing structure, with no guarantee of</w:t>
      </w:r>
      <w:r>
        <w:t xml:space="preserve"> </w:t>
      </w:r>
      <w:r>
        <w:t xml:space="preserve">permanence and no legal status. And a legal corpus should ship the strength of</w:t>
      </w:r>
      <w:r>
        <w:t xml:space="preserve"> </w:t>
      </w:r>
      <w:r>
        <w:t xml:space="preserve">the evidence behind each text alongside the text, because a reader who is given</w:t>
      </w:r>
      <w:r>
        <w:t xml:space="preserve"> </w:t>
      </w:r>
      <w:r>
        <w:t xml:space="preserve">only the text cannot tell the difference between a provision confirmed against</w:t>
      </w:r>
      <w:r>
        <w:t xml:space="preserve"> </w:t>
      </w:r>
      <w:r>
        <w:t xml:space="preserve">two official sources and one transcribed from a single scan.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legal information; provenance; web</w:t>
      </w:r>
      <w:r>
        <w:t xml:space="preserve"> </w:t>
      </w:r>
      <w:r>
        <w:t xml:space="preserve">archiving; official sources; legal corpora; Saudi Arabia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2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researcher who consults</w:t>
      </w:r>
      <w:r>
        <w:t xml:space="preserve"> </w:t>
      </w:r>
      <w:r>
        <w:t xml:space="preserve">the 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much of the work instead</w:t>
      </w:r>
      <w:r>
        <w:t xml:space="preserve">. 20.9 per cent of</w:t>
      </w:r>
      <w:r>
        <w:t xml:space="preserve"> </w:t>
      </w:r>
      <w:r>
        <w:t xml:space="preserve">articles were obtained through an archived capture rather than a live official</w:t>
      </w:r>
      <w:r>
        <w:t xml:space="preserve"> </w:t>
      </w:r>
      <w:r>
        <w:t xml:space="preserve">page. The two totals are close, but that alone would prove nothing — so the</w:t>
      </w:r>
      <w:r>
        <w:t xml:space="preserve"> </w:t>
      </w:r>
      <w:r>
        <w:t xml:space="preserve">joint is measured rather than inferred: 67.8 per cent of the articles whose</w:t>
      </w:r>
      <w:r>
        <w:t xml:space="preserve"> </w:t>
      </w:r>
      <w:r>
        <w:t xml:space="preserve">official source was unreachable were recovered through an archive, and 65.1 per</w:t>
      </w:r>
      <w:r>
        <w:t xml:space="preserve"> </w:t>
      </w:r>
      <w:r>
        <w:t xml:space="preserve">cent of archive use coincided with a recorded unavailability. The archive</w:t>
      </w:r>
      <w:r>
        <w:t xml:space="preserve"> </w:t>
      </w:r>
      <w:r>
        <w:t xml:space="preserve">standing in for a page that would not load is therefore the dominant pattern</w:t>
      </w:r>
      <w:r>
        <w:t xml:space="preserve"> </w:t>
      </w:r>
      <w:r>
        <w:t xml:space="preserve">and not the only one; 7.3 per cent of articles used an archive with no</w:t>
      </w:r>
      <w:r>
        <w:t xml:space="preserve"> </w:t>
      </w:r>
      <w:r>
        <w:t xml:space="preserve">unavailability recorded, and 6.4 per cent record unavailability that an archive</w:t>
      </w:r>
      <w:r>
        <w:t xml:space="preserve"> </w:t>
      </w:r>
      <w:r>
        <w:t xml:space="preserve">did not resolve. The Internet Archive is not a fallback for this kind of</w:t>
      </w:r>
      <w:r>
        <w:t xml:space="preserve"> </w:t>
      </w:r>
      <w:r>
        <w:t xml:space="preserve">research. It is part of the infrastructure, and it holds that position without</w:t>
      </w:r>
      <w:r>
        <w:t xml:space="preserve"> </w:t>
      </w:r>
      <w:r>
        <w:t xml:space="preserve">any legal 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4"/>
    <w:bookmarkStart w:id="32" w:name="the-assumption-and-who-relies-on-it"/>
    <w:p>
      <w:pPr>
        <w:pStyle w:val="Heading1"/>
      </w:pPr>
      <w:r>
        <w:t xml:space="preserve">The assumption, and who relies on it</w:t>
      </w:r>
    </w:p>
    <w:bookmarkStart w:id="25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5"/>
    <w:bookmarkStart w:id="29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27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29"/>
    <w:bookmarkStart w:id="31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1"/>
    <w:bookmarkEnd w:id="32"/>
    <w:bookmarkStart w:id="36" w:name="sec:method"/>
    <w:p>
      <w:pPr>
        <w:pStyle w:val="Heading1"/>
      </w:pPr>
      <w:r>
        <w:t xml:space="preserve">Data and method</w:t>
      </w:r>
    </w:p>
    <w:bookmarkStart w:id="33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3"/>
    <w:bookmarkStart w:id="34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34"/>
    <w:bookmarkStart w:id="35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35"/>
    <w:bookmarkEnd w:id="36"/>
    <w:bookmarkStart w:id="38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37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37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close, and they overlap by about</w:t>
      </w:r>
      <w:r>
        <w:rPr>
          <w:bCs/>
          <w:b/>
        </w:rPr>
        <w:t xml:space="preserve"> </w:t>
      </w:r>
      <w:r>
        <w:rPr>
          <w:bCs/>
          <w:b/>
        </w:rPr>
        <w:t xml:space="preserve">two thirds.</w:t>
      </w:r>
      <w:r>
        <w:t xml:space="preserve"> </w:t>
      </w:r>
      <w:r>
        <w:t xml:space="preserve">The totals are 20.0 per cent against 20.9 per cent, with 28.0 per</w:t>
      </w:r>
      <w:r>
        <w:t xml:space="preserve"> </w:t>
      </w:r>
      <w:r>
        <w:t xml:space="preserve">cent of instruments on both — but matching totals do not establish that the</w:t>
      </w:r>
      <w:r>
        <w:t xml:space="preserve"> </w:t>
      </w:r>
      <w:r>
        <w:t xml:space="preserve">same articles are involved, so the joint distribution is computed. Of the</w:t>
      </w:r>
      <w:r>
        <w:t xml:space="preserve"> </w:t>
      </w:r>
      <w:r>
        <w:t xml:space="preserve">articles whose official source was unreachable, 67.8 per cent were recovered</w:t>
      </w:r>
      <w:r>
        <w:t xml:space="preserve"> </w:t>
      </w:r>
      <w:r>
        <w:t xml:space="preserve">through an archive; of the articles obtained through an archive, 65.1 per cent</w:t>
      </w:r>
      <w:r>
        <w:t xml:space="preserve"> </w:t>
      </w:r>
      <w:r>
        <w:t xml:space="preserve">had a recorded unavailability. The archive is mostly not supplying different or</w:t>
      </w:r>
      <w:r>
        <w:t xml:space="preserve"> </w:t>
      </w:r>
      <w:r>
        <w:t xml:space="preserve">better material: it is supplying the official material, at a moment when the</w:t>
      </w:r>
      <w:r>
        <w:t xml:space="preserve"> </w:t>
      </w:r>
      <w:r>
        <w:t xml:space="preserve">official channel could not. The remainders matter too, and neither is small:</w:t>
      </w:r>
      <w:r>
        <w:t xml:space="preserve"> </w:t>
      </w:r>
      <w:r>
        <w:t xml:space="preserve">852 articles used an archive with no unavailability recorded — an archived</w:t>
      </w:r>
      <w:r>
        <w:t xml:space="preserve"> </w:t>
      </w:r>
      <w:r>
        <w:t xml:space="preserve">capture preferred for its stability, or consulted to check whether a live page</w:t>
      </w:r>
      <w:r>
        <w:t xml:space="preserve"> </w:t>
      </w:r>
      <w:r>
        <w:t xml:space="preserve">had changed — and 754 record an unavailability that no archive resolved.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38"/>
    <w:bookmarkStart w:id="40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39" w:name="the-direction-of-the-error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That 17.0 per cent is an underestimate, and it is worth being precise about</w:t>
      </w:r>
      <w:r>
        <w:t xml:space="preserve"> </w:t>
      </w:r>
      <w:r>
        <w:t xml:space="preserve">why, because the alternative — asserting that a convenient figure is</w:t>
      </w:r>
      <w:r>
        <w:t xml:space="preserve"> </w:t>
      </w:r>
      <w:r>
        <w:t xml:space="preserve">conservative — is exactly the move a reader should distrust.</w:t>
      </w:r>
    </w:p>
    <w:p>
      <w:pPr>
        <w:pStyle w:val="BodyText"/>
      </w:pPr>
      <w:r>
        <w:t xml:space="preserve">Not every instrument in the corpus has article-level verified records, and the</w:t>
      </w:r>
      <w:r>
        <w:t xml:space="preserve"> </w:t>
      </w:r>
      <w:r>
        <w:t xml:space="preserve">ones that do are not a random draw. Coverage by tier is 87 per cent for tier 1,</w:t>
      </w:r>
      <w:r>
        <w:t xml:space="preserve"> </w:t>
      </w:r>
      <w:r>
        <w:t xml:space="preserve">59 per cent for tier 2, 28 per cent for tier 3 and 73 per cent for tier 4. The</w:t>
      </w:r>
      <w:r>
        <w:t xml:space="preserve"> </w:t>
      </w:r>
      <w:r>
        <w:t xml:space="preserve">pattern is not monotonic, but tier 3 — the instruments whose official source</w:t>
      </w:r>
      <w:r>
        <w:t xml:space="preserve"> </w:t>
      </w:r>
      <w:r>
        <w:t xml:space="preserve">could not be reached at all — is by a wide margin the least represented. The</w:t>
      </w:r>
      <w:r>
        <w:t xml:space="preserve"> </w:t>
      </w:r>
      <w:r>
        <w:t xml:space="preserve">instruments most likely to be missing from the article-weighted measure are the</w:t>
      </w:r>
      <w:r>
        <w:t xml:space="preserve"> </w:t>
      </w:r>
      <w:r>
        <w:t xml:space="preserve">instruments whose evidence is weakest. A registry-wide count of instruments,</w:t>
      </w:r>
      <w:r>
        <w:t xml:space="preserve"> </w:t>
      </w:r>
      <w:r>
        <w:t xml:space="preserve">which does not have this problem, puts tiers 3 and 4 together at 76 of 291</w:t>
      </w:r>
      <w:r>
        <w:t xml:space="preserve"> </w:t>
      </w:r>
      <w:r>
        <w:t xml:space="preserve">instruments, or 26 per cent.</w:t>
      </w:r>
    </w:p>
    <w:bookmarkEnd w:id="39"/>
    <w:bookmarkEnd w:id="40"/>
    <w:bookmarkStart w:id="42" w:name="X5f8de5ef649a686f2c18514a801be1e9906b752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across nine articles in total.</w:t>
      </w:r>
    </w:p>
    <w:p>
      <w:pPr>
        <w:pStyle w:val="BodyText"/>
      </w:pPr>
      <w:r>
        <w:t xml:space="preserve">A note on that count, because it is easy to inflate. A provenance string is</w:t>
      </w:r>
      <w:r>
        <w:t xml:space="preserve"> </w:t>
      </w:r>
      <w:r>
        <w:t xml:space="preserve">attached to every article of the instrument it describes, so it records the</w:t>
      </w:r>
      <w:r>
        <w:t xml:space="preserve"> </w:t>
      </w:r>
      <w:r>
        <w:t xml:space="preserve">scope of the</w:t>
      </w:r>
      <w:r>
        <w:t xml:space="preserve"> </w:t>
      </w:r>
      <w:r>
        <w:rPr>
          <w:iCs/>
          <w:i/>
        </w:rPr>
        <w:t xml:space="preserve">verification route</w:t>
      </w:r>
      <w:r>
        <w:t xml:space="preserve">, not the scope of the problem. The</w:t>
      </w:r>
      <w:r>
        <w:t xml:space="preserve"> </w:t>
      </w:r>
      <w:r>
        <w:t xml:space="preserve">Environmental Law’s string rides on all 49 of its articles; its registry note</w:t>
      </w:r>
      <w:r>
        <w:t xml:space="preserve"> </w:t>
      </w:r>
      <w:r>
        <w:t xml:space="preserve">records that 48 matched verbatim across three sources and one did not. The</w:t>
      </w:r>
      <w:r>
        <w:t xml:space="preserve"> </w:t>
      </w:r>
      <w:r>
        <w:t xml:space="preserve">figure below is therefore read from each instrument’s own account of its</w:t>
      </w:r>
      <w:r>
        <w:t xml:space="preserve"> </w:t>
      </w:r>
      <w:r>
        <w:t xml:space="preserve">discrepancy, and the count of articles merely carrying one of these strings —</w:t>
      </w:r>
      <w:r>
        <w:t xml:space="preserve"> </w:t>
      </w:r>
      <w:r>
        <w:t xml:space="preserve">57 — is reported in the results file as the upper bound it is.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Press Law</w:t>
      </w:r>
      <w:r>
        <w:t xml:space="preserve"> </w:t>
      </w:r>
      <w:r>
        <w:t xml:space="preserve">this affects six articles — 5, 9, 36, 37, 38 and 40</w:t>
      </w:r>
      <w:r>
        <w:t xml:space="preserve"> </w:t>
      </w:r>
      <w:r>
        <w:t xml:space="preserve">— for each of which the portal simultaneously carries a changed-article marker</w:t>
      </w:r>
      <w:r>
        <w:t xml:space="preserve"> </w:t>
      </w:r>
      <w:r>
        <w:t xml:space="preserve">and a fully quoted amendment log while its main displayed body still shows the</w:t>
      </w:r>
      <w:r>
        <w:t xml:space="preserve"> </w:t>
      </w:r>
      <w:r>
        <w:t xml:space="preserve">pre-amendment text.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Law of Engineering Practice</w:t>
      </w:r>
      <w:r>
        <w:t xml:space="preserve"> </w:t>
      </w:r>
      <w:r>
        <w:t xml:space="preserve">it affects article 1, and the</w:t>
      </w:r>
      <w:r>
        <w:t xml:space="preserve"> </w:t>
      </w:r>
      <w:r>
        <w:t xml:space="preserve">disagreement is three-way rather than two: the portal’s change log quotes a</w:t>
      </w:r>
      <w:r>
        <w:t xml:space="preserve"> </w:t>
      </w:r>
      <w:r>
        <w:t xml:space="preserve">Council of Ministers resolution substituting a ministry name, while the</w:t>
      </w:r>
      <w:r>
        <w:t xml:space="preserve"> </w:t>
      </w:r>
      <w:r>
        <w:t xml:space="preserve">portal’s own main body has shown a third, different wording at every snapshot</w:t>
      </w:r>
      <w:r>
        <w:t xml:space="preserve"> </w:t>
      </w:r>
      <w:r>
        <w:t xml:space="preserve">checked since 2019 — a wording that predates the resolution.</w:t>
      </w:r>
      <w:r>
        <w:rPr>
          <w:rStyle w:val="FootnoteReference"/>
        </w:rPr>
        <w:footnoteReference w:id="41"/>
      </w:r>
      <w:r>
        <w:t xml:space="preserve"> </w:t>
      </w:r>
      <w:r>
        <w:t xml:space="preserve">The professional body’s own published</w:t>
      </w:r>
      <w:r>
        <w:t xml:space="preserve"> </w:t>
      </w:r>
      <w:r>
        <w:t xml:space="preserve">PDF agrees with neither, and the corpus records the case as unresolved.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Travel Documents Law</w:t>
      </w:r>
      <w:r>
        <w:t xml:space="preserve"> </w:t>
      </w:r>
      <w:r>
        <w:t xml:space="preserve">it affects article 6, where the portal’s</w:t>
      </w:r>
      <w:r>
        <w:t xml:space="preserve"> </w:t>
      </w:r>
      <w:r>
        <w:t xml:space="preserve">amendment log records an amendment and omits the decree citation for it</w:t>
      </w:r>
      <w:r>
        <w:t xml:space="preserve"> </w:t>
      </w:r>
      <w:r>
        <w:t xml:space="preserve">entirely; the citation was recovered from a secondary source.</w:t>
      </w:r>
    </w:p>
    <w:p>
      <w:pPr>
        <w:pStyle w:val="BodyText"/>
      </w:pPr>
      <w:r>
        <w:t xml:space="preserve">The fourth is the</w:t>
      </w:r>
      <w:r>
        <w:t xml:space="preserve"> </w:t>
      </w:r>
      <w:r>
        <w:rPr>
          <w:bCs/>
          <w:b/>
        </w:rPr>
        <w:t xml:space="preserve">Environmental Law</w:t>
      </w:r>
      <w:r>
        <w:t xml:space="preserve"> </w:t>
      </w:r>
      <w:r>
        <w:t xml:space="preserve">article with which this article</w:t>
      </w:r>
      <w:r>
        <w:t xml:space="preserve"> </w:t>
      </w:r>
      <w:r>
        <w:t xml:space="preserve">opened. There the disagreement is confined to a single definition —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competent authority</w:t>
      </w:r>
      <w:r>
        <w:t xml:space="preserve">’</w:t>
      </w:r>
      <w:r>
        <w:t xml:space="preserve"> </w:t>
      </w:r>
      <w:r>
        <w:t xml:space="preserve">in article 1 — where the portal’s per-article amendment</w:t>
      </w:r>
      <w:r>
        <w:t xml:space="preserve"> </w:t>
      </w:r>
      <w:r>
        <w:t xml:space="preserve">log gives a current wording that its own main running text does not carry. It</w:t>
      </w:r>
      <w:r>
        <w:t xml:space="preserve"> </w:t>
      </w:r>
      <w:r>
        <w:t xml:space="preserve">was resolved against two independent sources outside the portal, and the corpus</w:t>
      </w:r>
      <w:r>
        <w:t xml:space="preserve"> </w:t>
      </w:r>
      <w:r>
        <w:t xml:space="preserve">flags it as warranting dedicated legal review rather than treating it as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2"/>
    <w:bookmarkStart w:id="47" w:name="what-follows"/>
    <w:p>
      <w:pPr>
        <w:pStyle w:val="Heading1"/>
      </w:pPr>
      <w:r>
        <w:t xml:space="preserve">What follows</w:t>
      </w:r>
    </w:p>
    <w:bookmarkStart w:id="43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43"/>
    <w:bookmarkStart w:id="44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44"/>
    <w:bookmarkStart w:id="45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45"/>
    <w:bookmarkStart w:id="46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46"/>
    <w:bookmarkEnd w:id="47"/>
    <w:bookmarkStart w:id="53" w:name="limitations"/>
    <w:p>
      <w:pPr>
        <w:pStyle w:val="Heading1"/>
      </w:pPr>
      <w:r>
        <w:t xml:space="preserve">Limitations</w:t>
      </w:r>
    </w:p>
    <w:bookmarkStart w:id="48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48"/>
    <w:bookmarkStart w:id="49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49"/>
    <w:bookmarkStart w:id="50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50"/>
    <w:bookmarkStart w:id="51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51"/>
    <w:bookmarkStart w:id="52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52"/>
    <w:bookmarkEnd w:id="53"/>
    <w:bookmarkStart w:id="5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Four studies of this corpus have measured what a legal system contains, how its</w:t>
      </w:r>
      <w:r>
        <w:t xml:space="preserve"> </w:t>
      </w:r>
      <w:r>
        <w:t xml:space="preserve">instruments cite one another, whether they use a common vocabulary, and how</w:t>
      </w:r>
      <w:r>
        <w:t xml:space="preserve"> </w:t>
      </w:r>
      <w:r>
        <w:t xml:space="preserve">they change over time. Each rests on a foundation none of them examined: that</w:t>
      </w:r>
      <w:r>
        <w:t xml:space="preserve"> </w:t>
      </w:r>
      <w:r>
        <w:t xml:space="preserve">the text was there to be read, and was consistent, when it was collected.</w:t>
      </w:r>
    </w:p>
    <w:p>
      <w:pPr>
        <w:pStyle w:val="BodyText"/>
      </w:pPr>
      <w:r>
        <w:t xml:space="preserve">Examined, that foundation holds for about two thirds of the corpus and is</w:t>
      </w:r>
      <w:r>
        <w:t xml:space="preserve"> </w:t>
      </w:r>
      <w:r>
        <w:t xml:space="preserve">qualified for the rest. The official source could not be reached for one</w:t>
      </w:r>
      <w:r>
        <w:t xml:space="preserve"> </w:t>
      </w:r>
      <w:r>
        <w:t xml:space="preserve">article in five. One article in five arrived through a web archive, mostly a</w:t>
      </w:r>
      <w:r>
        <w:t xml:space="preserve"> </w:t>
      </w:r>
      <w:r>
        <w:t xml:space="preserve">capture of the very page that could not be reached live. One instrument in</w:t>
      </w:r>
      <w:r>
        <w:t xml:space="preserve"> </w:t>
      </w:r>
      <w:r>
        <w:t xml:space="preserve">seven required reading images. Seventeen per cent of the text has no</w:t>
      </w:r>
      <w:r>
        <w:t xml:space="preserve"> </w:t>
      </w:r>
      <w:r>
        <w:t xml:space="preserve">cross-verified official primary behind it, and that figure understates the</w:t>
      </w:r>
      <w:r>
        <w:t xml:space="preserve"> </w:t>
      </w:r>
      <w:r>
        <w:t xml:space="preserve">position because the instruments with the weakest evidence are the least likely</w:t>
      </w:r>
      <w:r>
        <w:t xml:space="preserve"> </w:t>
      </w:r>
      <w:r>
        <w:t xml:space="preserve">to be measured at all. In four instruments the official record contradicts</w:t>
      </w:r>
      <w:r>
        <w:t xml:space="preserve"> </w:t>
      </w:r>
      <w:r>
        <w:t xml:space="preserve">itself, and a reader consulting it once has no way to know.</w:t>
      </w:r>
    </w:p>
    <w:p>
      <w:pPr>
        <w:pStyle w:val="BodyText"/>
      </w:pPr>
      <w:r>
        <w:t xml:space="preserve">None of this makes the law unknowable, and none of it is an accusation against</w:t>
      </w:r>
      <w:r>
        <w:t xml:space="preserve"> </w:t>
      </w:r>
      <w:r>
        <w:t xml:space="preserve">the institutions that publish it. It is a description of a gap between how</w:t>
      </w:r>
      <w:r>
        <w:t xml:space="preserve"> </w:t>
      </w:r>
      <w:r>
        <w:t xml:space="preserve">digital legal research assumes its sources behave and how they were observed to</w:t>
      </w:r>
      <w:r>
        <w:t xml:space="preserve"> </w:t>
      </w:r>
      <w:r>
        <w:t xml:space="preserve">behave over one sustained attempt to use them. The remedy is not better</w:t>
      </w:r>
      <w:r>
        <w:t xml:space="preserve"> </w:t>
      </w:r>
      <w:r>
        <w:t xml:space="preserve">sources, which is nobody’s to promise. It is a record: cite the retrieval,</w:t>
      </w:r>
      <w:r>
        <w:t xml:space="preserve"> </w:t>
      </w:r>
      <w:r>
        <w:t xml:space="preserve">publish the strength of the evidence, and use a vocabulary that survives being</w:t>
      </w:r>
      <w:r>
        <w:t xml:space="preserve"> </w:t>
      </w:r>
      <w:r>
        <w:t xml:space="preserve">read by a machine. This corpus did two of those three, and the third is the</w:t>
      </w:r>
      <w:r>
        <w:t xml:space="preserve"> </w:t>
      </w:r>
      <w:r>
        <w:t xml:space="preserve">reason its own provenance field had to be classified before it could be</w:t>
      </w:r>
      <w:r>
        <w:t xml:space="preserve"> </w:t>
      </w:r>
      <w:r>
        <w:t xml:space="preserve">counted.</w:t>
      </w:r>
    </w:p>
    <w:bookmarkEnd w:id="54"/>
    <w:bookmarkStart w:id="65" w:name="acknowledgements-and-declarations"/>
    <w:p>
      <w:pPr>
        <w:pStyle w:val="Heading1"/>
      </w:pPr>
      <w:r>
        <w:t xml:space="preserve">Acknowledgements and declarations</w:t>
      </w:r>
    </w:p>
    <w:bookmarkStart w:id="55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 funding was received for conducting this study.</w:t>
      </w:r>
    </w:p>
    <w:bookmarkEnd w:id="55"/>
    <w:bookmarkStart w:id="56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56"/>
    <w:bookmarkStart w:id="57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and the build record of an openly published corpus.</w:t>
      </w:r>
    </w:p>
    <w:bookmarkEnd w:id="57"/>
    <w:bookmarkStart w:id="58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 assistant throughout — to</w:t>
      </w:r>
      <w:r>
        <w:t xml:space="preserve"> </w:t>
      </w:r>
      <w:r>
        <w:t xml:space="preserve">write the analysis and figure scripts that produce every number and figure</w:t>
      </w:r>
      <w:r>
        <w:t xml:space="preserve"> </w:t>
      </w:r>
      <w:r>
        <w:t xml:space="preserve">reported here, to draft and revise the manuscript, and to run adversarial</w:t>
      </w:r>
      <w:r>
        <w:t xml:space="preserve"> </w:t>
      </w:r>
      <w:r>
        <w:t xml:space="preserve">checks against its own claims, which caught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 classifying and auditing a free-text</w:t>
      </w:r>
      <w:r>
        <w:t xml:space="preserve"> </w:t>
      </w:r>
      <w:r>
        <w:t xml:space="preserve">provenance record across 15,408 articles, work that is not feasible by hand at</w:t>
      </w:r>
      <w:r>
        <w:t xml:space="preserve"> </w:t>
      </w:r>
      <w:r>
        <w:t xml:space="preserve">that scale for a single researcher. The author set the research question,</w:t>
      </w:r>
      <w:r>
        <w:t xml:space="preserve"> </w:t>
      </w:r>
      <w:r>
        <w:t xml:space="preserve">directed the analysis, verified the outputs against the underlying records, and</w:t>
      </w:r>
      <w:r>
        <w:t xml:space="preserve"> </w:t>
      </w:r>
      <w:r>
        <w:t xml:space="preserve">is responsible for the content. Every number and figure is regenerated by the</w:t>
      </w:r>
      <w:r>
        <w:t xml:space="preserve"> </w:t>
      </w:r>
      <w:r>
        <w:t xml:space="preserve">openly published scripts from the openly published corpus.</w:t>
      </w:r>
    </w:p>
    <w:bookmarkEnd w:id="58"/>
    <w:bookmarkStart w:id="59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59"/>
    <w:bookmarkStart w:id="63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corpus, its provenance and verification</w:t>
      </w:r>
      <w:r>
        <w:t xml:space="preserve"> </w:t>
      </w:r>
      <w:r>
        <w:t xml:space="preserve">layers, and the analysis and figure scripts that reproduce every number and</w:t>
      </w:r>
      <w:r>
        <w:t xml:space="preserve"> </w:t>
      </w:r>
      <w:r>
        <w:t xml:space="preserve">figure reported here are openly available at</w:t>
      </w:r>
      <w:r>
        <w:t xml:space="preserve"> </w:t>
      </w:r>
      <w:hyperlink r:id="rId60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62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full string-to-classification table on which section 4 rests is published</w:t>
      </w:r>
      <w:r>
        <w:t xml:space="preserve"> </w:t>
      </w:r>
      <w:r>
        <w:t xml:space="preserve">with the analysis results.</w:t>
      </w:r>
    </w:p>
    <w:bookmarkEnd w:id="63"/>
    <w:bookmarkStart w:id="64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 corpus.</w:t>
      </w:r>
      <w:r>
        <w:t xml:space="preserve"> </w:t>
      </w:r>
      <w:r>
        <w:t xml:space="preserve">Nothing here constitutes legal advice, and the binding text of any instrument</w:t>
      </w:r>
      <w:r>
        <w:t xml:space="preserve"> </w:t>
      </w:r>
      <w:r>
        <w:t xml:space="preserve">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Council</w:t>
      </w:r>
      <w:r>
        <w:t xml:space="preserve"> </w:t>
      </w:r>
      <w:r>
        <w:t xml:space="preserve">of Ministers Resolution 250, 7/4/1444H.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2" Target="https://doi.org/10.5281/zenodo.22019182" TargetMode="External" /><Relationship Type="http://schemas.openxmlformats.org/officeDocument/2006/relationships/hyperlink" Id="rId61" Target="https://doi.org/10.5281/zenodo.22019183" TargetMode="External" /><Relationship Type="http://schemas.openxmlformats.org/officeDocument/2006/relationships/hyperlink" Id="rId60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5281/zenodo.22019182" TargetMode="External" /><Relationship Type="http://schemas.openxmlformats.org/officeDocument/2006/relationships/hyperlink" Id="rId61" Target="https://doi.org/10.5281/zenodo.22019183" TargetMode="External" /><Relationship Type="http://schemas.openxmlformats.org/officeDocument/2006/relationships/hyperlink" Id="rId60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It Took to Read the Law: Access, Provenance and the Evidentiary Basis of a Digital Legal Corpus</dc:title>
  <dc:creator>Abdullah Almohammedi Independent Researcher abdullah.m.almohammedi@gmail.com ORCID: 0009-0001-0832-0995</dc:creator>
  <cp:keywords/>
  <dcterms:created xsi:type="dcterms:W3CDTF">2026-08-21T08:23:32Z</dcterms:created>
  <dcterms:modified xsi:type="dcterms:W3CDTF">2026-08-21T08:23:32Z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