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</w:t>
      </w:r>
      <w:r>
        <w:t xml:space="preserve"> </w:t>
      </w:r>
      <w:r>
        <w:t xml:space="preserve">You</w:t>
      </w:r>
      <w:r>
        <w:t xml:space="preserve"> </w:t>
      </w:r>
      <w:r>
        <w:t xml:space="preserve">Build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Record?</w:t>
      </w:r>
      <w:r>
        <w:br/>
      </w:r>
      <w:r>
        <w:t xml:space="preserve">Availability,</w:t>
      </w:r>
      <w:r>
        <w:t xml:space="preserve"> </w:t>
      </w:r>
      <w: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t xml:space="preserve">Provenance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State’s</w:t>
      </w:r>
      <w:r>
        <w:t xml:space="preserve"> </w:t>
      </w:r>
      <w:r>
        <w:t xml:space="preserve">Published</w:t>
      </w:r>
      <w:r>
        <w:t xml:space="preserve"> </w:t>
      </w:r>
      <w:r>
        <w:t xml:space="preserve">Law</w:t>
      </w:r>
    </w:p>
    <w:p>
      <w:pPr>
        <w:pStyle w:val="Author"/>
      </w:pPr>
      <w:r>
        <w:t xml:space="preserve">Abdullah</w:t>
      </w:r>
      <w:r>
        <w:t xml:space="preserve"> </w:t>
      </w:r>
      <w:r>
        <w:t xml:space="preserve">Almohammedi</w:t>
      </w:r>
      <w:r>
        <w:br/>
      </w:r>
      <w:r>
        <w:t xml:space="preserve">Independent</w:t>
      </w:r>
      <w:r>
        <w:t xml:space="preserve"> </w:t>
      </w:r>
      <w:r>
        <w:t xml:space="preserve">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0009-0001-0832-0995</w:t>
        </w:r>
      </w:hyperlink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Governments publish their law online, and a growing amount of public and</w:t>
      </w:r>
      <w:r>
        <w:t xml:space="preserve"> </w:t>
      </w:r>
      <w:r>
        <w:t xml:space="preserve">private activity is built directly on those publications: compliance systems,</w:t>
      </w:r>
      <w:r>
        <w:t xml:space="preserve"> </w:t>
      </w:r>
      <w:r>
        <w:t xml:space="preserve">regulatory technology, legal research, and language models grounded in</w:t>
      </w:r>
      <w:r>
        <w:t xml:space="preserve"> </w:t>
      </w:r>
      <w:r>
        <w:t xml:space="preserve">statutory text. All of it assumes that the official record is available when</w:t>
      </w:r>
      <w:r>
        <w:t xml:space="preserve"> </w:t>
      </w:r>
      <w:r>
        <w:t xml:space="preserve">needed and internally consistent when read. That assumption is rarely tested,</w:t>
      </w:r>
      <w:r>
        <w:t xml:space="preserve"> </w:t>
      </w:r>
      <w:r>
        <w:t xml:space="preserve">because testing it requires a contemporaneous record of what each attempt to</w:t>
      </w:r>
      <w:r>
        <w:t xml:space="preserve"> </w:t>
      </w:r>
      <w:r>
        <w:t xml:space="preserve">retrieve the official text actually returned. This article reports one. In</w:t>
      </w:r>
      <w:r>
        <w:t xml:space="preserve"> </w:t>
      </w:r>
      <w:r>
        <w:t xml:space="preserve">building a corpus of Saudi Arabian legislation, every verified article was</w:t>
      </w:r>
      <w:r>
        <w:t xml:space="preserve"> </w:t>
      </w:r>
      <w:r>
        <w:t xml:space="preserve">annotated with the sources consulted and how they were reconciled, and every</w:t>
      </w:r>
      <w:r>
        <w:t xml:space="preserve"> </w:t>
      </w:r>
      <w:r>
        <w:t xml:space="preserve">instrument was assigned a verification tier by hand. Measured over the 11,704</w:t>
      </w:r>
      <w:r>
        <w:t xml:space="preserve"> </w:t>
      </w:r>
      <w:r>
        <w:t xml:space="preserve">articles whose record names its sources, the official source was unreachable</w:t>
      </w:r>
      <w:r>
        <w:t xml:space="preserve"> </w:t>
      </w:r>
      <w:r>
        <w:t xml:space="preserve">for 20.0 per cent of them, covering 28.0 per cent of instruments; 20.9 per cent</w:t>
      </w:r>
      <w:r>
        <w:t xml:space="preserve"> </w:t>
      </w:r>
      <w:r>
        <w:t xml:space="preserve">were obtained through a web archive, and two thirds of those cases coincide</w:t>
      </w:r>
      <w:r>
        <w:t xml:space="preserve"> </w:t>
      </w:r>
      <w:r>
        <w:t xml:space="preserve">with a recorded unavailability of the live source; 8.2 per cent required</w:t>
      </w:r>
      <w:r>
        <w:t xml:space="preserve"> </w:t>
      </w:r>
      <w:r>
        <w:t xml:space="preserve">optical reconstruction; and 4.9 per cent record a defect in the official text</w:t>
      </w:r>
      <w:r>
        <w:t xml:space="preserve"> </w:t>
      </w:r>
      <w:r>
        <w:t xml:space="preserve">itself. Weighted by article, 17.0 per cent of the corpus has no cross-verified</w:t>
      </w:r>
      <w:r>
        <w:t xml:space="preserve"> </w:t>
      </w:r>
      <w:r>
        <w:t xml:space="preserve">official primary source behind it, and the coverage of the sample makes that an</w:t>
      </w:r>
      <w:r>
        <w:t xml:space="preserve"> </w:t>
      </w:r>
      <w:r>
        <w:t xml:space="preserve">underestimate. In four instruments the official record contradicts itself</w:t>
      </w:r>
      <w:r>
        <w:t xml:space="preserve"> </w:t>
      </w:r>
      <w:r>
        <w:t xml:space="preserve">across nine articles: the provision the portal displays and the amendment log</w:t>
      </w:r>
      <w:r>
        <w:t xml:space="preserve"> </w:t>
      </w:r>
      <w:r>
        <w:t xml:space="preserve">the same portal publishes do not agree. We draw three conclusions for the</w:t>
      </w:r>
      <w:r>
        <w:t xml:space="preserve"> </w:t>
      </w:r>
      <w:r>
        <w:t xml:space="preserve">publishers and users of official data. Web archives are load-bearing</w:t>
      </w:r>
      <w:r>
        <w:t xml:space="preserve"> </w:t>
      </w:r>
      <w:r>
        <w:t xml:space="preserve">infrastructure for public-record research, and hold that position with no</w:t>
      </w:r>
      <w:r>
        <w:t xml:space="preserve"> </w:t>
      </w:r>
      <w:r>
        <w:t xml:space="preserve">mandate and no guarantee of permanence. Availability and internal consistency</w:t>
      </w:r>
      <w:r>
        <w:t xml:space="preserve"> </w:t>
      </w:r>
      <w:r>
        <w:t xml:space="preserve">are distinct properties and need separate measurement. And a public dataset</w:t>
      </w:r>
      <w:r>
        <w:t xml:space="preserve"> </w:t>
      </w:r>
      <w:r>
        <w:t xml:space="preserve">should carry the strength of the evidence behind each record, for which we</w:t>
      </w:r>
      <w:r>
        <w:t xml:space="preserve"> </w:t>
      </w:r>
      <w:r>
        <w:t xml:space="preserve">propose a minimal five-field provenance schema derived from what this corpus</w:t>
      </w:r>
      <w:r>
        <w:t xml:space="preserve"> </w:t>
      </w:r>
      <w:r>
        <w:t xml:space="preserve">recorded in free text — and from the 24 per cent of its own provenance values</w:t>
      </w:r>
      <w:r>
        <w:t xml:space="preserve"> </w:t>
      </w:r>
      <w:r>
        <w:t xml:space="preserve">that turned out not to be provenance statements at all.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public data infrastructure;</w:t>
      </w:r>
      <w:r>
        <w:t xml:space="preserve"> </w:t>
      </w:r>
      <w:r>
        <w:t xml:space="preserve">provenance; data quality; web archiving; official records; open government</w:t>
      </w:r>
      <w:r>
        <w:t xml:space="preserve"> </w:t>
      </w:r>
      <w:r>
        <w:t xml:space="preserve">data; legal informatics; Saudi Arabia</w:t>
      </w:r>
    </w:p>
    <w:bookmarkEnd w:id="21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2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user who consults the</w:t>
      </w:r>
      <w:r>
        <w:t xml:space="preserve"> </w:t>
      </w:r>
      <w:r>
        <w:t xml:space="preserve">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The reason this matters beyond one statute is that the population of users has</w:t>
      </w:r>
      <w:r>
        <w:t xml:space="preserve"> </w:t>
      </w:r>
      <w:r>
        <w:t xml:space="preserve">changed. When the audience for published law was lawyers reading one provision</w:t>
      </w:r>
      <w:r>
        <w:t xml:space="preserve"> </w:t>
      </w:r>
      <w:r>
        <w:t xml:space="preserve">at a time, an occasional outage was an inconvenience and an inconsistency was</w:t>
      </w:r>
      <w:r>
        <w:t xml:space="preserve"> </w:t>
      </w:r>
      <w:r>
        <w:t xml:space="preserve">something a professional would notice and query. The audience now includes</w:t>
      </w:r>
      <w:r>
        <w:t xml:space="preserve"> </w:t>
      </w:r>
      <w:r>
        <w:t xml:space="preserve">systems: compliance engines, regulatory-technology products, public bodies</w:t>
      </w:r>
      <w:r>
        <w:t xml:space="preserve"> </w:t>
      </w:r>
      <w:r>
        <w:t xml:space="preserve">consuming each other’s published rules, and models grounded in statutory text.</w:t>
      </w:r>
      <w:r>
        <w:t xml:space="preserve"> </w:t>
      </w:r>
      <w:r>
        <w:t xml:space="preserve">These consume the record at volume, without a professional reader between the</w:t>
      </w:r>
      <w:r>
        <w:t xml:space="preserve"> </w:t>
      </w:r>
      <w:r>
        <w:t xml:space="preserve">source and the answer, and they cannot query anything. For them an outage is</w:t>
      </w:r>
      <w:r>
        <w:t xml:space="preserve"> </w:t>
      </w:r>
      <w:r>
        <w:t xml:space="preserve">not an inconvenience — it is a gap silently filled from somewhere else, or a</w:t>
      </w:r>
      <w:r>
        <w:t xml:space="preserve"> </w:t>
      </w:r>
      <w:r>
        <w:t xml:space="preserve">record that never enters the collection at all, with nothing downstream marking</w:t>
      </w:r>
      <w:r>
        <w:t xml:space="preserve"> </w:t>
      </w:r>
      <w:r>
        <w:t xml:space="preserve">either event.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4"/>
    <w:bookmarkStart w:id="39" w:name="who-builds-on-the-official-record"/>
    <w:p>
      <w:pPr>
        <w:pStyle w:val="Heading1"/>
      </w:pPr>
      <w:r>
        <w:t xml:space="preserve">Who builds on the official record</w:t>
      </w:r>
    </w:p>
    <w:p>
      <w:pPr>
        <w:pStyle w:val="FirstParagraph"/>
      </w:pPr>
      <w:r>
        <w:t xml:space="preserve">The stakes of this question are not confined to research. Publishing law online</w:t>
      </w:r>
      <w:r>
        <w:t xml:space="preserve"> </w:t>
      </w:r>
      <w:r>
        <w:t xml:space="preserve">converted a reference artefact into an operational one, and a large amount of</w:t>
      </w:r>
      <w:r>
        <w:t xml:space="preserve"> </w:t>
      </w:r>
      <w:r>
        <w:t xml:space="preserve">public and private activity now consumes it directly rather than through a</w:t>
      </w:r>
      <w:r>
        <w:t xml:space="preserve"> </w:t>
      </w:r>
      <w:r>
        <w:t xml:space="preserve">human intermediary who might notice a problem.</w:t>
      </w:r>
    </w:p>
    <w:bookmarkStart w:id="25" w:name="compliance-and-regulatory-technology."/>
    <w:p>
      <w:pPr>
        <w:pStyle w:val="Heading4"/>
      </w:pPr>
      <w:r>
        <w:t xml:space="preserve">Compliance and regulatory technology.</w:t>
      </w:r>
    </w:p>
    <w:p>
      <w:pPr>
        <w:pStyle w:val="FirstParagraph"/>
      </w:pPr>
      <w:r>
        <w:t xml:space="preserve">Systems that determine</w:t>
      </w:r>
      <w:r>
        <w:t xml:space="preserve"> </w:t>
      </w:r>
      <w:r>
        <w:t xml:space="preserve">whether an obligation applies to a firm read statutory text and act on it.</w:t>
      </w:r>
      <w:r>
        <w:t xml:space="preserve"> </w:t>
      </w:r>
      <w:r>
        <w:t xml:space="preserve">Where the text is retrieved once, cached, and served thereafter, a defect at</w:t>
      </w:r>
      <w:r>
        <w:t xml:space="preserve"> </w:t>
      </w:r>
      <w:r>
        <w:t xml:space="preserve">retrieval time propagates silently: nothing downstream can distinguish a</w:t>
      </w:r>
      <w:r>
        <w:t xml:space="preserve"> </w:t>
      </w:r>
      <w:r>
        <w:t xml:space="preserve">provision transcribed from a stable official page from one recovered from an</w:t>
      </w:r>
      <w:r>
        <w:t xml:space="preserve"> </w:t>
      </w:r>
      <w:r>
        <w:t xml:space="preserve">archived capture of a page that no longer resolves.</w:t>
      </w:r>
    </w:p>
    <w:bookmarkEnd w:id="25"/>
    <w:bookmarkStart w:id="26" w:name="governments-own-systems."/>
    <w:p>
      <w:pPr>
        <w:pStyle w:val="Heading4"/>
      </w:pPr>
      <w:r>
        <w:t xml:space="preserve">Government’s own systems.</w:t>
      </w:r>
    </w:p>
    <w:p>
      <w:pPr>
        <w:pStyle w:val="FirstParagraph"/>
      </w:pPr>
      <w:r>
        <w:t xml:space="preserve">Public bodies consume each other’s</w:t>
      </w:r>
      <w:r>
        <w:t xml:space="preserve"> </w:t>
      </w:r>
      <w:r>
        <w:t xml:space="preserve">published rules. An agency implementing a licensing regime relies on the</w:t>
      </w:r>
      <w:r>
        <w:t xml:space="preserve"> </w:t>
      </w:r>
      <w:r>
        <w:t xml:space="preserve">published text of the law that creates it, and on the published text of every</w:t>
      </w:r>
      <w:r>
        <w:t xml:space="preserve"> </w:t>
      </w:r>
      <w:r>
        <w:t xml:space="preserve">instrument that one cross-references. Section 6 describes</w:t>
      </w:r>
      <w:r>
        <w:t xml:space="preserve"> </w:t>
      </w:r>
      <w:r>
        <w:t xml:space="preserve">four instruments where the official record disagrees with itself; a public body</w:t>
      </w:r>
      <w:r>
        <w:t xml:space="preserve"> </w:t>
      </w:r>
      <w:r>
        <w:t xml:space="preserve">reading the portal has exactly the same exposure as a private one.</w:t>
      </w:r>
    </w:p>
    <w:bookmarkEnd w:id="26"/>
    <w:bookmarkStart w:id="27" w:name="X8a9eb9f252bdfe4b97e6404767b0545313dd345"/>
    <w:p>
      <w:pPr>
        <w:pStyle w:val="Heading4"/>
      </w:pPr>
      <w:r>
        <w:t xml:space="preserve">Language models grounded in statutory text.</w:t>
      </w:r>
    </w:p>
    <w:p>
      <w:pPr>
        <w:pStyle w:val="FirstParagraph"/>
      </w:pPr>
      <w:r>
        <w:t xml:space="preserve">Retrieval-augmented</w:t>
      </w:r>
      <w:r>
        <w:t xml:space="preserve"> </w:t>
      </w:r>
      <w:r>
        <w:t xml:space="preserve">systems answer from a corpus, and the corpus was collected at a moment. The</w:t>
      </w:r>
      <w:r>
        <w:t xml:space="preserve"> </w:t>
      </w:r>
      <w:r>
        <w:t xml:space="preserve">literature on these systems concentrates on retrieval quality and on</w:t>
      </w:r>
      <w:r>
        <w:t xml:space="preserve"> </w:t>
      </w:r>
      <w:r>
        <w:t xml:space="preserve">hallucination, both of which presume that the retrieved text is the law. What</w:t>
      </w:r>
      <w:r>
        <w:t xml:space="preserve"> </w:t>
      </w:r>
      <w:r>
        <w:t xml:space="preserve">this article measures is the layer below: whether the text entered the corpus</w:t>
      </w:r>
      <w:r>
        <w:t xml:space="preserve"> </w:t>
      </w:r>
      <w:r>
        <w:t xml:space="preserve">correctly in the first place, and how strongly it is attested.</w:t>
      </w:r>
    </w:p>
    <w:bookmarkEnd w:id="27"/>
    <w:bookmarkStart w:id="28" w:name="open-government-data-more-generally."/>
    <w:p>
      <w:pPr>
        <w:pStyle w:val="Heading4"/>
      </w:pPr>
      <w:r>
        <w:t xml:space="preserve">Open government data more generally.</w:t>
      </w:r>
    </w:p>
    <w:p>
      <w:pPr>
        <w:pStyle w:val="FirstParagraph"/>
      </w:pPr>
      <w:r>
        <w:t xml:space="preserve">Legal publication is one</w:t>
      </w:r>
      <w:r>
        <w:t xml:space="preserve"> </w:t>
      </w:r>
      <w:r>
        <w:t xml:space="preserve">instance of a wider pattern. States publish registries, budgets, procurement</w:t>
      </w:r>
      <w:r>
        <w:t xml:space="preserve"> </w:t>
      </w:r>
      <w:r>
        <w:t xml:space="preserve">notices, statistical series and legal texts, and the same three questions apply</w:t>
      </w:r>
      <w:r>
        <w:t xml:space="preserve"> </w:t>
      </w:r>
      <w:r>
        <w:t xml:space="preserve">to all of them: was it available when it was needed, is it internally</w:t>
      </w:r>
      <w:r>
        <w:t xml:space="preserve"> </w:t>
      </w:r>
      <w:r>
        <w:t xml:space="preserve">consistent, and does anything published alongside the data say how strongly it</w:t>
      </w:r>
      <w:r>
        <w:t xml:space="preserve"> </w:t>
      </w:r>
      <w:r>
        <w:t xml:space="preserve">is attested? Law is a useful place to ask because the correct answer is</w:t>
      </w:r>
      <w:r>
        <w:t xml:space="preserve"> </w:t>
      </w:r>
      <w:r>
        <w:t xml:space="preserve">unusually well defined — there is a right text, published in a gazette, and</w:t>
      </w:r>
      <w:r>
        <w:t xml:space="preserve"> </w:t>
      </w:r>
      <w:r>
        <w:t xml:space="preserve">divergence from it is an error rather than a matter of interpretation.</w:t>
      </w:r>
    </w:p>
    <w:bookmarkEnd w:id="28"/>
    <w:bookmarkStart w:id="29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9"/>
    <w:bookmarkStart w:id="33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33"/>
    <w:bookmarkStart w:id="36" w:name="in-the-data-stewardship-literature"/>
    <w:p>
      <w:pPr>
        <w:pStyle w:val="Heading2"/>
      </w:pPr>
      <w:r>
        <w:t xml:space="preserve">In the data-stewardship literature</w:t>
      </w:r>
    </w:p>
    <w:p>
      <w:pPr>
        <w:pStyle w:val="FirstParagraph"/>
      </w:pPr>
      <w:r>
        <w:t xml:space="preserve">The general case for recording provenance is settled. The FAIR principles make</w:t>
      </w:r>
      <w:r>
        <w:t xml:space="preserve"> </w:t>
      </w:r>
      <w:r>
        <w:t xml:space="preserve">‘</w:t>
      </w:r>
      <w:r>
        <w:t xml:space="preserve">Reusable</w:t>
      </w:r>
      <w:r>
        <w:t xml:space="preserve">’</w:t>
      </w:r>
      <w:r>
        <w:t xml:space="preserve"> </w:t>
      </w:r>
      <w:r>
        <w:t xml:space="preserve">conditional on data being</w:t>
      </w:r>
      <w:r>
        <w:t xml:space="preserve"> </w:t>
      </w:r>
      <w:r>
        <w:t xml:space="preserve">‘</w:t>
      </w:r>
      <w:r>
        <w:t xml:space="preserve">associated with detailed provenance</w:t>
      </w:r>
      <w:r>
        <w:t xml:space="preserve">’</w:t>
      </w:r>
      <w:r>
        <w:t xml:space="preserve">, and</w:t>
      </w:r>
      <w:r>
        <w:t xml:space="preserve"> </w:t>
      </w:r>
      <w:r>
        <w:t xml:space="preserve">they are endorsed across research funders, publishers and</w:t>
      </w:r>
      <w:r>
        <w:t xml:space="preserve"> </w:t>
      </w:r>
      <w:r>
        <w:t xml:space="preserve">infrastructures.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A standard vocabulary for expressing it has existed since</w:t>
      </w:r>
      <w:r>
        <w:t xml:space="preserve"> </w:t>
      </w:r>
      <w:r>
        <w:t xml:space="preserve">2013.</w:t>
      </w:r>
      <w:r>
        <w:rPr>
          <w:rStyle w:val="FootnoteReference"/>
        </w:rPr>
        <w:footnoteReference w:id="35"/>
      </w:r>
    </w:p>
    <w:p>
      <w:pPr>
        <w:pStyle w:val="BodyText"/>
      </w:pPr>
      <w:r>
        <w:t xml:space="preserve">What this article adds is not another argument that provenance matters. It is</w:t>
      </w:r>
      <w:r>
        <w:t xml:space="preserve"> </w:t>
      </w:r>
      <w:r>
        <w:t xml:space="preserve">an account of what provenance turns out to be</w:t>
      </w:r>
      <w:r>
        <w:t xml:space="preserve"> </w:t>
      </w:r>
      <w:r>
        <w:rPr>
          <w:iCs/>
          <w:i/>
        </w:rPr>
        <w:t xml:space="preserve">for</w:t>
      </w:r>
      <w:r>
        <w:t xml:space="preserve">, once a collection is</w:t>
      </w:r>
      <w:r>
        <w:t xml:space="preserve"> </w:t>
      </w:r>
      <w:r>
        <w:t xml:space="preserve">large enough that nobody can remember how any particular record was obtained.</w:t>
      </w:r>
      <w:r>
        <w:t xml:space="preserve"> </w:t>
      </w:r>
      <w:r>
        <w:t xml:space="preserve">The FAIR formulation —</w:t>
      </w:r>
      <w:r>
        <w:t xml:space="preserve"> </w:t>
      </w:r>
      <w:r>
        <w:t xml:space="preserve">‘</w:t>
      </w:r>
      <w:r>
        <w:t xml:space="preserve">detailed provenance</w:t>
      </w:r>
      <w:r>
        <w:t xml:space="preserve">’</w:t>
      </w:r>
      <w:r>
        <w:t xml:space="preserve"> </w:t>
      </w:r>
      <w:r>
        <w:t xml:space="preserve">— is satisfied, on its face, by</w:t>
      </w:r>
      <w:r>
        <w:t xml:space="preserve"> </w:t>
      </w:r>
      <w:r>
        <w:t xml:space="preserve">the free-text field this corpus used. That field was written conscientiously,</w:t>
      </w:r>
      <w:r>
        <w:t xml:space="preserve"> </w:t>
      </w:r>
      <w:r>
        <w:t xml:space="preserve">article by article, by people who cared about the question, and it still could</w:t>
      </w:r>
      <w:r>
        <w:t xml:space="preserve"> </w:t>
      </w:r>
      <w:r>
        <w:t xml:space="preserve">not be counted without first classifying 158 distinct strings by rule, and</w:t>
      </w:r>
      <w:r>
        <w:t xml:space="preserve"> </w:t>
      </w:r>
      <w:r>
        <w:t xml:space="preserve">still contained 24 per cent of values that were not provenance at all.</w:t>
      </w:r>
      <w:r>
        <w:t xml:space="preserve"> </w:t>
      </w:r>
      <w:r>
        <w:t xml:space="preserve">‘</w:t>
      </w:r>
      <w:r>
        <w:t xml:space="preserve">Detailed</w:t>
      </w:r>
      <w:r>
        <w:t xml:space="preserve">’</w:t>
      </w:r>
      <w:r>
        <w:t xml:space="preserve"> </w:t>
      </w:r>
      <w:r>
        <w:t xml:space="preserve">is not the operative property.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is: a small set of fields with</w:t>
      </w:r>
      <w:r>
        <w:t xml:space="preserve"> </w:t>
      </w:r>
      <w:r>
        <w:t xml:space="preserve">enumerated values, which is what section 7 proposes.</w:t>
      </w:r>
    </w:p>
    <w:bookmarkEnd w:id="36"/>
    <w:bookmarkStart w:id="38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8"/>
    <w:bookmarkEnd w:id="39"/>
    <w:bookmarkStart w:id="43" w:name="sec:method"/>
    <w:p>
      <w:pPr>
        <w:pStyle w:val="Heading1"/>
      </w:pPr>
      <w:r>
        <w:t xml:space="preserve">Data and method</w:t>
      </w:r>
    </w:p>
    <w:bookmarkStart w:id="40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Two real examples convey the register better than a description. The</w:t>
      </w:r>
      <w:r>
        <w:t xml:space="preserve"> </w:t>
      </w:r>
      <w:r>
        <w:t xml:space="preserve">commonest string in the corpus, carried by 4,520 articles, records that the</w:t>
      </w:r>
      <w:r>
        <w:t xml:space="preserve"> </w:t>
      </w:r>
      <w:r>
        <w:t xml:space="preserve">Ministry of Justice portal’s API text was cross-checked against the official</w:t>
      </w:r>
      <w:r>
        <w:t xml:space="preserve"> </w:t>
      </w:r>
      <w:r>
        <w:t xml:space="preserve">PDF published from the same portal: one official channel, two artefacts, no</w:t>
      </w:r>
      <w:r>
        <w:t xml:space="preserve"> </w:t>
      </w:r>
      <w:r>
        <w:t xml:space="preserve">difficulty. At the other extreme, one instrument’s string records that the</w:t>
      </w:r>
      <w:r>
        <w:t xml:space="preserve"> </w:t>
      </w:r>
      <w:r>
        <w:t xml:space="preserve">authority’s own site PDF was the primary source but had to be fetched through</w:t>
      </w:r>
      <w:r>
        <w:t xml:space="preserve"> </w:t>
      </w:r>
      <w:r>
        <w:t xml:space="preserve">a reader proxy, that a ligature artefact in it was reconstructed, that it was</w:t>
      </w:r>
      <w:r>
        <w:t xml:space="preserve"> </w:t>
      </w:r>
      <w:r>
        <w:t xml:space="preserve">cross-checked against three independent secondary sources, and that the page</w:t>
      </w:r>
      <w:r>
        <w:t xml:space="preserve"> </w:t>
      </w:r>
      <w:r>
        <w:t xml:space="preserve">for the instrument could not be located on the national legislative portal at</w:t>
      </w:r>
      <w:r>
        <w:t xml:space="preserve"> </w:t>
      </w:r>
      <w:r>
        <w:t xml:space="preserve">all. Both are a single field of a single record; the first runs to seven</w:t>
      </w:r>
      <w:r>
        <w:t xml:space="preserve"> </w:t>
      </w:r>
      <w:r>
        <w:t xml:space="preserve">tokens, the second to twenty-one.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40"/>
    <w:bookmarkStart w:id="41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41"/>
    <w:bookmarkStart w:id="42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42"/>
    <w:bookmarkEnd w:id="43"/>
    <w:bookmarkStart w:id="45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44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44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45"/>
    <w:bookmarkStart w:id="48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46" w:name="what-a-tier-means-in-practice"/>
    <w:p>
      <w:pPr>
        <w:pStyle w:val="Heading2"/>
      </w:pPr>
      <w:r>
        <w:t xml:space="preserve">What a tier means in practice</w:t>
      </w:r>
    </w:p>
    <w:p>
      <w:pPr>
        <w:pStyle w:val="FirstParagraph"/>
      </w:pPr>
      <w:r>
        <w:t xml:space="preserve">The tiers are easier to trust with two instruments behind them.</w:t>
      </w:r>
    </w:p>
    <w:p>
      <w:pPr>
        <w:pStyle w:val="BodyText"/>
      </w:pPr>
      <w:r>
        <w:t xml:space="preserve">At the top, the Regulation Organizing the Work of Judicial Assistants: every</w:t>
      </w:r>
      <w:r>
        <w:t xml:space="preserve"> </w:t>
      </w:r>
      <w:r>
        <w:t xml:space="preserve">article was taken from the Ministry of Justice portal’s database and checked,</w:t>
      </w:r>
      <w:r>
        <w:t xml:space="preserve"> </w:t>
      </w:r>
      <w:r>
        <w:t xml:space="preserve">article by article, against the official PDF published by the same ministry</w:t>
      </w:r>
      <w:r>
        <w:t xml:space="preserve"> </w:t>
      </w:r>
      <w:r>
        <w:t xml:space="preserve">from the same portal. Two official artefacts, no access failure, agreement</w:t>
      </w:r>
      <w:r>
        <w:t xml:space="preserve"> </w:t>
      </w:r>
      <w:r>
        <w:t xml:space="preserve">throughout. A user who needs to be certain of a provision in that instrument</w:t>
      </w:r>
      <w:r>
        <w:t xml:space="preserve"> </w:t>
      </w:r>
      <w:r>
        <w:t xml:space="preserve">can be about as certain as the published record permits.</w:t>
      </w:r>
    </w:p>
    <w:p>
      <w:pPr>
        <w:pStyle w:val="BodyText"/>
      </w:pPr>
      <w:r>
        <w:t xml:space="preserve">At the bottom, the Accredited Valuers Law — and it illustrates something more</w:t>
      </w:r>
      <w:r>
        <w:t xml:space="preserve"> </w:t>
      </w:r>
      <w:r>
        <w:t xml:space="preserve">useful than a simple contrast. Forty of its forty-five articles were taken from</w:t>
      </w:r>
      <w:r>
        <w:t xml:space="preserve"> </w:t>
      </w:r>
      <w:r>
        <w:t xml:space="preserve">the administering authority’s own official PDF and cross-verified against the</w:t>
      </w:r>
      <w:r>
        <w:t xml:space="preserve"> </w:t>
      </w:r>
      <w:r>
        <w:t xml:space="preserve">official gazette and two independent reproductions, which is close to the</w:t>
      </w:r>
      <w:r>
        <w:t xml:space="preserve"> </w:t>
      </w:r>
      <w:r>
        <w:t xml:space="preserve">strongest evidence in the corpus. The remaining five rest on a single source,</w:t>
      </w:r>
      <w:r>
        <w:t xml:space="preserve"> </w:t>
      </w:r>
      <w:r>
        <w:t xml:space="preserve">because the primary legislative portal could not be reached for them. The whole</w:t>
      </w:r>
      <w:r>
        <w:t xml:space="preserve"> </w:t>
      </w:r>
      <w:r>
        <w:t xml:space="preserve">instrument is graded tier 4.</w:t>
      </w:r>
    </w:p>
    <w:p>
      <w:pPr>
        <w:pStyle w:val="BodyText"/>
      </w:pPr>
      <w:r>
        <w:t xml:space="preserve">That is the scheme working as designed: a tier describes the weakest evidence</w:t>
      </w:r>
      <w:r>
        <w:t xml:space="preserve"> </w:t>
      </w:r>
      <w:r>
        <w:t xml:space="preserve">anywhere in the instrument, because a user asking about one provision has no</w:t>
      </w:r>
      <w:r>
        <w:t xml:space="preserve"> </w:t>
      </w:r>
      <w:r>
        <w:t xml:space="preserve">way to know whether it falls in the strong forty or the weak five. It also</w:t>
      </w:r>
      <w:r>
        <w:t xml:space="preserve"> </w:t>
      </w:r>
      <w:r>
        <w:t xml:space="preserve">means the tier figures are pessimistic at the instrument level, which</w:t>
      </w:r>
      <w:r>
        <w:t xml:space="preserve"> </w:t>
      </w:r>
      <w:r>
        <w:t xml:space="preserve">section 5.2 takes up alongside the bias that runs the other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Between them sits the largest group by instrument count: one official source</w:t>
      </w:r>
      <w:r>
        <w:t xml:space="preserve"> </w:t>
      </w:r>
      <w:r>
        <w:t xml:space="preserve">reached, then cross-checked against independent non-official reproductions.</w:t>
      </w:r>
      <w:r>
        <w:t xml:space="preserve"> </w:t>
      </w:r>
      <w:r>
        <w:t xml:space="preserve">That is a defensible standard and it is not the same as two official sources</w:t>
      </w:r>
      <w:r>
        <w:t xml:space="preserve"> </w:t>
      </w:r>
      <w:r>
        <w:t xml:space="preserve">agreeing, because the non-official reproduction may itself derive from the</w:t>
      </w:r>
      <w:r>
        <w:t xml:space="preserve"> </w:t>
      </w:r>
      <w:r>
        <w:t xml:space="preserve">official one — a possibility this corpus flags where it was detected but</w:t>
      </w:r>
      <w:r>
        <w:t xml:space="preserve"> </w:t>
      </w:r>
      <w:r>
        <w:t xml:space="preserve">cannot exclude in general.</w:t>
      </w:r>
    </w:p>
    <w:bookmarkEnd w:id="46"/>
    <w:bookmarkStart w:id="47" w:name="sec:direction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Two biases act on the 17.0 per cent figure, and they pull in opposite</w:t>
      </w:r>
      <w:r>
        <w:t xml:space="preserve"> </w:t>
      </w:r>
      <w:r>
        <w:t xml:space="preserve">directions. Reporting only the one that flatters the argument would be the</w:t>
      </w:r>
      <w:r>
        <w:t xml:space="preserve"> </w:t>
      </w:r>
      <w:r>
        <w:t xml:space="preserve">move a reader should most distrust, so both are stated.</w:t>
      </w:r>
    </w:p>
    <w:p>
      <w:pPr>
        <w:pStyle w:val="BodyText"/>
      </w:pPr>
      <w:r>
        <w:rPr>
          <w:bCs/>
          <w:b/>
        </w:rPr>
        <w:t xml:space="preserve">Sample coverage understates it.</w:t>
      </w:r>
      <w:r>
        <w:t xml:space="preserve"> </w:t>
      </w:r>
      <w:r>
        <w:t xml:space="preserve">Not every instrument has article-level</w:t>
      </w:r>
      <w:r>
        <w:t xml:space="preserve"> </w:t>
      </w:r>
      <w:r>
        <w:t xml:space="preserve">verified records, and the ones that do are not a random draw. Coverage by tier</w:t>
      </w:r>
      <w:r>
        <w:t xml:space="preserve"> </w:t>
      </w:r>
      <w:r>
        <w:t xml:space="preserve">is 87 per cent for tier 1, 59 per cent for tier 2, 28 per cent for tier 3 and 73</w:t>
      </w:r>
      <w:r>
        <w:t xml:space="preserve"> </w:t>
      </w:r>
      <w:r>
        <w:t xml:space="preserve">per cent for tier 4. The pattern is not monotonic, but tier 3 — the</w:t>
      </w:r>
      <w:r>
        <w:t xml:space="preserve"> </w:t>
      </w:r>
      <w:r>
        <w:t xml:space="preserve">instruments whose official source could not be reached at all — is by a wide</w:t>
      </w:r>
      <w:r>
        <w:t xml:space="preserve"> </w:t>
      </w:r>
      <w:r>
        <w:t xml:space="preserve">margin the least represented, so the instruments most likely to be missing are</w:t>
      </w:r>
      <w:r>
        <w:t xml:space="preserve"> </w:t>
      </w:r>
      <w:r>
        <w:t xml:space="preserve">those whose evidence is weakest. A registry-wide count of instruments, which</w:t>
      </w:r>
      <w:r>
        <w:t xml:space="preserve"> </w:t>
      </w:r>
      <w:r>
        <w:t xml:space="preserve">does not have this problem, puts tiers 3 and 4 together at 76 of 291</w:t>
      </w:r>
      <w:r>
        <w:t xml:space="preserve"> </w:t>
      </w:r>
      <w:r>
        <w:t xml:space="preserve">instruments, or 26 per cent.</w:t>
      </w:r>
    </w:p>
    <w:p>
      <w:pPr>
        <w:pStyle w:val="BodyText"/>
      </w:pPr>
      <w:r>
        <w:rPr>
          <w:bCs/>
          <w:b/>
        </w:rPr>
        <w:t xml:space="preserve">Worst-part grading overstates it.</w:t>
      </w:r>
      <w:r>
        <w:t xml:space="preserve"> </w:t>
      </w:r>
      <w:r>
        <w:t xml:space="preserve">A tier is assigned to an instrument</w:t>
      </w:r>
      <w:r>
        <w:t xml:space="preserve"> </w:t>
      </w:r>
      <w:r>
        <w:t xml:space="preserve">on its weakest evidence, so an instrument like the Accredited Valuers Law —</w:t>
      </w:r>
      <w:r>
        <w:t xml:space="preserve"> </w:t>
      </w:r>
      <w:r>
        <w:t xml:space="preserve">forty articles at close to the strongest standard and five at the weakest —</w:t>
      </w:r>
      <w:r>
        <w:t xml:space="preserve"> </w:t>
      </w:r>
      <w:r>
        <w:t xml:space="preserve">contributes all forty-five of its articles to tier 4. Article-weighted tier</w:t>
      </w:r>
      <w:r>
        <w:t xml:space="preserve"> </w:t>
      </w:r>
      <w:r>
        <w:t xml:space="preserve">figures therefore attribute strong evidence to a weak tier whenever the</w:t>
      </w:r>
      <w:r>
        <w:t xml:space="preserve"> </w:t>
      </w:r>
      <w:r>
        <w:t xml:space="preserve">weakness is localised.</w:t>
      </w:r>
    </w:p>
    <w:p>
      <w:pPr>
        <w:pStyle w:val="BodyText"/>
      </w:pPr>
      <w:r>
        <w:t xml:space="preserve">We cannot net these against each other, and we do not try. What can be said is</w:t>
      </w:r>
      <w:r>
        <w:t xml:space="preserve"> </w:t>
      </w:r>
      <w:r>
        <w:t xml:space="preserve">narrower and still worth saying: the share of this corpus that a careful user</w:t>
      </w:r>
      <w:r>
        <w:t xml:space="preserve"> </w:t>
      </w:r>
      <w:r>
        <w:t xml:space="preserve">would want to treat as less than fully attested is somewhere in the region of a</w:t>
      </w:r>
      <w:r>
        <w:t xml:space="preserve"> </w:t>
      </w:r>
      <w:r>
        <w:t xml:space="preserve">sixth to a quarter, depending on which unit is counted and how conservatively a</w:t>
      </w:r>
      <w:r>
        <w:t xml:space="preserve"> </w:t>
      </w:r>
      <w:r>
        <w:t xml:space="preserve">mixed instrument is graded — and it is not the zero that a dataset shipping</w:t>
      </w:r>
      <w:r>
        <w:t xml:space="preserve"> </w:t>
      </w:r>
      <w:r>
        <w:t xml:space="preserve">text alone implicitly asserts.</w:t>
      </w:r>
    </w:p>
    <w:bookmarkEnd w:id="47"/>
    <w:bookmarkEnd w:id="48"/>
    <w:bookmarkStart w:id="50" w:name="sec:contradiction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50"/>
    <w:bookmarkStart w:id="52" w:name="sec:schema"/>
    <w:p>
      <w:pPr>
        <w:pStyle w:val="Heading1"/>
      </w:pPr>
      <w:r>
        <w:t xml:space="preserve">A minimal provenance schema</w:t>
      </w:r>
    </w:p>
    <w:p>
      <w:pPr>
        <w:pStyle w:val="FirstParagraph"/>
      </w:pPr>
      <w:r>
        <w:t xml:space="preserve">The most transferable output of this exercise is not a percentage. It is the</w:t>
      </w:r>
      <w:r>
        <w:t xml:space="preserve"> </w:t>
      </w:r>
      <w:r>
        <w:t xml:space="preserve">observation that everything measured above was recoverable only because someone</w:t>
      </w:r>
      <w:r>
        <w:t xml:space="preserve"> </w:t>
      </w:r>
      <w:r>
        <w:t xml:space="preserve">wrote down, at the time, what each retrieval attempt returned — and that</w:t>
      </w:r>
      <w:r>
        <w:t xml:space="preserve"> </w:t>
      </w:r>
      <w:r>
        <w:t xml:space="preserve">writing it in prose made the record nearly unusable at the scale where it</w:t>
      </w:r>
      <w:r>
        <w:t xml:space="preserve"> </w:t>
      </w:r>
      <w:r>
        <w:t xml:space="preserve">mattered. Twenty-four per cent of the values in this corpus’s provenance field</w:t>
      </w:r>
      <w:r>
        <w:t xml:space="preserve"> </w:t>
      </w:r>
      <w:r>
        <w:t xml:space="preserve">are not provenance statements at all, and the remainder had to be classified by</w:t>
      </w:r>
      <w:r>
        <w:t xml:space="preserve"> </w:t>
      </w:r>
      <w:r>
        <w:t xml:space="preserve">a rule over free text before anything could be counted.</w:t>
      </w:r>
    </w:p>
    <w:p>
      <w:pPr>
        <w:pStyle w:val="BodyText"/>
      </w:pPr>
      <w:r>
        <w:t xml:space="preserve">What was actually needed is small. The five fields below carry everything the</w:t>
      </w:r>
      <w:r>
        <w:t xml:space="preserve"> </w:t>
      </w:r>
      <w:r>
        <w:t xml:space="preserve">analysis in this article extracted from 158 distinct free-text strings, and</w:t>
      </w:r>
      <w:r>
        <w:t xml:space="preserve"> </w:t>
      </w:r>
      <w:r>
        <w:t xml:space="preserve">they are derived from that record rather than proposed in the abstract: each</w:t>
      </w:r>
      <w:r>
        <w:t xml:space="preserve"> </w:t>
      </w:r>
      <w:r>
        <w:t xml:space="preserve">field exists because the free text was already trying to express it.</w:t>
      </w:r>
    </w:p>
    <w:bookmarkStart w:id="51" w:name="tab:schema"/>
    <w:p>
      <w:pPr>
        <w:pStyle w:val="TableCaption"/>
      </w:pPr>
      <w:r>
        <w:t xml:space="preserve">A minimal provenance schema, derived from what the free-text record in</w:t>
      </w:r>
      <w:r>
        <w:t xml:space="preserve"> </w:t>
      </w:r>
      <w:r>
        <w:t xml:space="preserve">this corpus was already trying to say.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 minimal provenance schema, derived from what the free-text record in this corpus was already trying to say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Values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official-primary</w:t>
            </w:r>
            <w:r>
              <w:t xml:space="preserve"> </w:t>
            </w:r>
            <w:r>
              <w:t xml:space="preserve">(the publishing authority’s</w:t>
            </w:r>
            <w:r>
              <w:t xml:space="preserve"> </w:t>
            </w:r>
            <w:r>
              <w:t xml:space="preserve">own channel),</w:t>
            </w:r>
            <w:r>
              <w:t xml:space="preserve"> </w:t>
            </w:r>
            <w:r>
              <w:rPr>
                <w:iCs/>
                <w:i/>
              </w:rPr>
              <w:t xml:space="preserve">official-secondary</w:t>
            </w:r>
            <w:r>
              <w:t xml:space="preserve"> </w:t>
            </w:r>
            <w:r>
              <w:t xml:space="preserve">(another public body republishing it),</w:t>
            </w:r>
            <w:r>
              <w:t xml:space="preserve"> </w:t>
            </w:r>
            <w:r>
              <w:rPr>
                <w:iCs/>
                <w:i/>
              </w:rPr>
              <w:t xml:space="preserve">independent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aggregator</w:t>
            </w:r>
            <w:r>
              <w:t xml:space="preserve">. Answers: whose copy is this?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live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archived-capture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offline-artefact</w:t>
            </w:r>
            <w:r>
              <w:t xml:space="preserve"> </w:t>
            </w:r>
            <w:r>
              <w:t xml:space="preserve">(a PDF or scan held locally),</w:t>
            </w:r>
            <w:r>
              <w:t xml:space="preserve"> </w:t>
            </w:r>
            <w:r>
              <w:rPr>
                <w:iCs/>
                <w:i/>
              </w:rPr>
              <w:t xml:space="preserve">proxy</w:t>
            </w:r>
            <w:r>
              <w:t xml:space="preserve">. Answers:</w:t>
            </w:r>
            <w:r>
              <w:t xml:space="preserve"> </w:t>
            </w:r>
            <w:r>
              <w:t xml:space="preserve">how was it obtained, and would the same request work today?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corroboration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Integer: the number of independent sources found to</w:t>
            </w:r>
            <w:r>
              <w:t xml:space="preserve"> </w:t>
            </w:r>
            <w:r>
              <w:t xml:space="preserve">agree. Zero means single-source. Answers: how strongly is it attested?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text-extraction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optical-recognition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manual-transcription</w:t>
            </w:r>
            <w:r>
              <w:t xml:space="preserve">. Answers: what could</w:t>
            </w:r>
            <w:r>
              <w:t xml:space="preserve"> </w:t>
            </w:r>
            <w:r>
              <w:t xml:space="preserve">have introduced an error that no reader can see?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discrepancy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Null, or a short structured note: which sources</w:t>
            </w:r>
            <w:r>
              <w:t xml:space="preserve"> </w:t>
            </w:r>
            <w:r>
              <w:t xml:space="preserve">disagreed, and whether the disagreement was resolved. Answers: is there a known</w:t>
            </w:r>
            <w:r>
              <w:t xml:space="preserve"> </w:t>
            </w:r>
            <w:r>
              <w:t xml:space="preserve">problem with this record?</w:t>
            </w:r>
          </w:p>
        </w:tc>
      </w:tr>
    </w:tbl>
    <w:bookmarkEnd w:id="51"/>
    <w:p>
      <w:pPr>
        <w:pStyle w:val="BodyText"/>
      </w:pPr>
      <w:r>
        <w:t xml:space="preserve">Three properties of Table 2 matter more than its particular</w:t>
      </w:r>
      <w:r>
        <w:t xml:space="preserve"> </w:t>
      </w:r>
      <w:r>
        <w:t xml:space="preserve">field names.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Cs/>
          <w:b/>
        </w:rPr>
        <w:t xml:space="preserve">cheap</w:t>
      </w:r>
      <w:r>
        <w:t xml:space="preserve">. Three of the five fields are closed vocabularies of</w:t>
      </w:r>
      <w:r>
        <w:t xml:space="preserve"> </w:t>
      </w:r>
      <w:r>
        <w:t xml:space="preserve">four values, a fourth is an integer, and only the last is free text — reserved</w:t>
      </w:r>
      <w:r>
        <w:t xml:space="preserve"> </w:t>
      </w:r>
      <w:r>
        <w:t xml:space="preserve">for the case where something actually went wrong. A collection process that</w:t>
      </w:r>
      <w:r>
        <w:t xml:space="preserve"> </w:t>
      </w:r>
      <w:r>
        <w:t xml:space="preserve">knows how it obtained a document knows all of them at the moment of</w:t>
      </w:r>
      <w:r>
        <w:t xml:space="preserve"> </w:t>
      </w:r>
      <w:r>
        <w:t xml:space="preserve">collection. The expensive part of provenance</w:t>
      </w:r>
      <w:r>
        <w:t xml:space="preserve"> </w:t>
      </w:r>
      <w:r>
        <w:t xml:space="preserve">is reconstructing it afterwards, which is what this article had to do.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separates availability from consistency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retrieval_route</w:t>
      </w:r>
      <w:r>
        <w:t xml:space="preserve"> </w:t>
      </w:r>
      <w:r>
        <w:t xml:space="preserve">records whether the live source worked;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records whether the</w:t>
      </w:r>
      <w:r>
        <w:t xml:space="preserve"> </w:t>
      </w:r>
      <w:r>
        <w:t xml:space="preserve">sources agreed. These are different failures with different remedies, and a</w:t>
      </w:r>
      <w:r>
        <w:t xml:space="preserve"> </w:t>
      </w:r>
      <w:r>
        <w:t xml:space="preserve">single confidence score — the usual shorthand — collapses them. The corpus</w:t>
      </w:r>
      <w:r>
        <w:t xml:space="preserve"> </w:t>
      </w:r>
      <w:r>
        <w:t xml:space="preserve">studied here has instruments that were perfectly available and internally</w:t>
      </w:r>
      <w:r>
        <w:t xml:space="preserve"> </w:t>
      </w:r>
      <w:r>
        <w:t xml:space="preserve">contradictory, and instruments that were unreachable but, once recovered, in</w:t>
      </w:r>
      <w:r>
        <w:t xml:space="preserve"> </w:t>
      </w:r>
      <w:r>
        <w:t xml:space="preserve">complete agreement across three sources.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degrades honestly</w:t>
      </w:r>
      <w:r>
        <w:t xml:space="preserve">. A record with</w:t>
      </w:r>
      <w:r>
        <w:t xml:space="preserve"> </w:t>
      </w:r>
      <w:r>
        <w:rPr>
          <w:rStyle w:val="VerbatimChar"/>
        </w:rPr>
        <w:t xml:space="preserve">corroboration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transformation = optical-recognition</w:t>
      </w:r>
      <w:r>
        <w:t xml:space="preserve"> </w:t>
      </w:r>
      <w:r>
        <w:t xml:space="preserve">is not hidden by an aggregate; a</w:t>
      </w:r>
      <w:r>
        <w:t xml:space="preserve"> </w:t>
      </w:r>
      <w:r>
        <w:t xml:space="preserve">user filtering for reliability can exclude it, and a user who does not at least</w:t>
      </w:r>
      <w:r>
        <w:t xml:space="preserve"> </w:t>
      </w:r>
      <w:r>
        <w:t xml:space="preserve">cannot claim they were not told. The verification tiers this corpus assigned by</w:t>
      </w:r>
      <w:r>
        <w:t xml:space="preserve"> </w:t>
      </w:r>
      <w:r>
        <w:t xml:space="preserve">hand are a coarser version of the same idea, and even four levels turned out to</w:t>
      </w:r>
      <w:r>
        <w:t xml:space="preserve"> </w:t>
      </w:r>
      <w:r>
        <w:t xml:space="preserve">be more than almost any comparable dataset publishes.</w:t>
      </w:r>
    </w:p>
    <w:bookmarkEnd w:id="52"/>
    <w:bookmarkStart w:id="61" w:name="what-follows"/>
    <w:p>
      <w:pPr>
        <w:pStyle w:val="Heading1"/>
      </w:pPr>
      <w:r>
        <w:t xml:space="preserve">What follows</w:t>
      </w:r>
    </w:p>
    <w:bookmarkStart w:id="53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53"/>
    <w:bookmarkStart w:id="54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54"/>
    <w:bookmarkStart w:id="55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55"/>
    <w:bookmarkStart w:id="56" w:name="X1d4cda8d58d636d8f5761d68a72e9a3f92a5260"/>
    <w:p>
      <w:pPr>
        <w:pStyle w:val="Heading4"/>
      </w:pPr>
      <w:r>
        <w:t xml:space="preserve">Publish availability as a service property, not a hope.</w:t>
      </w:r>
    </w:p>
    <w:p>
      <w:pPr>
        <w:pStyle w:val="FirstParagraph"/>
      </w:pPr>
      <w:r>
        <w:t xml:space="preserve">A state</w:t>
      </w:r>
      <w:r>
        <w:t xml:space="preserve"> </w:t>
      </w:r>
      <w:r>
        <w:t xml:space="preserve">that publishes its law online has taken on an operational commitment whether or</w:t>
      </w:r>
      <w:r>
        <w:t xml:space="preserve"> </w:t>
      </w:r>
      <w:r>
        <w:t xml:space="preserve">not it has said so. The measurements here are not a service-level study and</w:t>
      </w:r>
      <w:r>
        <w:t xml:space="preserve"> </w:t>
      </w:r>
      <w:r>
        <w:t xml:space="preserve">cannot be one — they record what one collector saw from one network over one</w:t>
      </w:r>
      <w:r>
        <w:t xml:space="preserve"> </w:t>
      </w:r>
      <w:r>
        <w:t xml:space="preserve">period — but they are enough to show that the commitment is not currently</w:t>
      </w:r>
      <w:r>
        <w:t xml:space="preserve"> </w:t>
      </w:r>
      <w:r>
        <w:t xml:space="preserve">being met at the level users assume. The remedy is ordinary infrastructure</w:t>
      </w:r>
      <w:r>
        <w:t xml:space="preserve"> </w:t>
      </w:r>
      <w:r>
        <w:t xml:space="preserve">practice: publish uptime, publish a stable retrieval interface, and treat a</w:t>
      </w:r>
      <w:r>
        <w:t xml:space="preserve"> </w:t>
      </w:r>
      <w:r>
        <w:t xml:space="preserve">consolidated text and its own amendment log as a single artefact that must</w:t>
      </w:r>
      <w:r>
        <w:t xml:space="preserve"> </w:t>
      </w:r>
      <w:r>
        <w:t xml:space="preserve">agree before either is served.</w:t>
      </w:r>
    </w:p>
    <w:bookmarkEnd w:id="56"/>
    <w:bookmarkStart w:id="57" w:name="X9d8d8ec07768e45f4ef2de1a754f5501c19adcd"/>
    <w:p>
      <w:pPr>
        <w:pStyle w:val="Heading4"/>
      </w:pPr>
      <w:r>
        <w:t xml:space="preserve">Deposit, rather than depend on someone else archiving.</w:t>
      </w:r>
    </w:p>
    <w:p>
      <w:pPr>
        <w:pStyle w:val="FirstParagraph"/>
      </w:pPr>
      <w:r>
        <w:t xml:space="preserve">One article</w:t>
      </w:r>
      <w:r>
        <w:t xml:space="preserve"> </w:t>
      </w:r>
      <w:r>
        <w:t xml:space="preserve">in five in this corpus reached it through a web archive. That is a dependency</w:t>
      </w:r>
      <w:r>
        <w:t xml:space="preserve"> </w:t>
      </w:r>
      <w:r>
        <w:t xml:space="preserve">on a third party with no obligation to the state whose law it is preserving,</w:t>
      </w:r>
      <w:r>
        <w:t xml:space="preserve"> </w:t>
      </w:r>
      <w:r>
        <w:t xml:space="preserve">and it is invisible to everyone downstream. States that already operate legal</w:t>
      </w:r>
      <w:r>
        <w:t xml:space="preserve"> </w:t>
      </w:r>
      <w:r>
        <w:t xml:space="preserve">deposit for print have the institutional machinery for the digital equivalent;</w:t>
      </w:r>
      <w:r>
        <w:t xml:space="preserve"> </w:t>
      </w:r>
      <w:r>
        <w:t xml:space="preserve">what is missing is the instruction to use it for the state’s own published</w:t>
      </w:r>
      <w:r>
        <w:t xml:space="preserve"> </w:t>
      </w:r>
      <w:r>
        <w:t xml:space="preserve">record, and a citable identifier for each version so that a reader can retrieve</w:t>
      </w:r>
      <w:r>
        <w:t xml:space="preserve"> </w:t>
      </w:r>
      <w:r>
        <w:t xml:space="preserve">what an author actually read.</w:t>
      </w:r>
    </w:p>
    <w:bookmarkEnd w:id="57"/>
    <w:bookmarkStart w:id="58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58"/>
    <w:bookmarkStart w:id="59" w:name="why-this-is-not-already-standard"/>
    <w:p>
      <w:pPr>
        <w:pStyle w:val="Heading2"/>
      </w:pPr>
      <w:r>
        <w:t xml:space="preserve">Why this is not already standard</w:t>
      </w:r>
    </w:p>
    <w:p>
      <w:pPr>
        <w:pStyle w:val="FirstParagraph"/>
      </w:pPr>
      <w:r>
        <w:t xml:space="preserve">If the schema is as cheap as section 7 claims, its absence needs</w:t>
      </w:r>
      <w:r>
        <w:t xml:space="preserve"> </w:t>
      </w:r>
      <w:r>
        <w:t xml:space="preserve">explaining. Three reasons seem to us to account for most of it, and none is</w:t>
      </w:r>
      <w:r>
        <w:t xml:space="preserve"> </w:t>
      </w:r>
      <w:r>
        <w:t xml:space="preserve">about cost.</w:t>
      </w:r>
    </w:p>
    <w:p>
      <w:pPr>
        <w:pStyle w:val="BodyText"/>
      </w:pPr>
      <w:r>
        <w:rPr>
          <w:bCs/>
          <w:b/>
        </w:rPr>
        <w:t xml:space="preserve">Provenance is invisible when everything works.</w:t>
      </w:r>
      <w:r>
        <w:t xml:space="preserve"> </w:t>
      </w:r>
      <w:r>
        <w:t xml:space="preserve">A collection assembled</w:t>
      </w:r>
      <w:r>
        <w:t xml:space="preserve"> </w:t>
      </w:r>
      <w:r>
        <w:t xml:space="preserve">in a week from a responsive source has nothing interesting to record, and the</w:t>
      </w:r>
      <w:r>
        <w:t xml:space="preserve"> </w:t>
      </w:r>
      <w:r>
        <w:t xml:space="preserve">value of having recorded it appears only later — when a source changes, a</w:t>
      </w:r>
      <w:r>
        <w:t xml:space="preserve"> </w:t>
      </w:r>
      <w:r>
        <w:t xml:space="preserve">discrepancy surfaces, or someone asks how a particular record was obtained. By</w:t>
      </w:r>
      <w:r>
        <w:t xml:space="preserve"> </w:t>
      </w:r>
      <w:r>
        <w:t xml:space="preserve">then the information is gone. This is the ordinary structure of an</w:t>
      </w:r>
      <w:r>
        <w:t xml:space="preserve"> </w:t>
      </w:r>
      <w:r>
        <w:t xml:space="preserve">under-provided good, and it is why the field has to be populated by the</w:t>
      </w:r>
      <w:r>
        <w:t xml:space="preserve"> </w:t>
      </w:r>
      <w:r>
        <w:t xml:space="preserve">collection process rather than by whoever eventually needs it.</w:t>
      </w:r>
    </w:p>
    <w:p>
      <w:pPr>
        <w:pStyle w:val="BodyText"/>
      </w:pPr>
      <w:r>
        <w:rPr>
          <w:bCs/>
          <w:b/>
        </w:rPr>
        <w:t xml:space="preserve">Publishing weakness looks like admitting weakness.</w:t>
      </w:r>
      <w:r>
        <w:t xml:space="preserve"> </w:t>
      </w:r>
      <w:r>
        <w:t xml:space="preserve">A dataset that</w:t>
      </w:r>
      <w:r>
        <w:t xml:space="preserve"> </w:t>
      </w:r>
      <w:r>
        <w:t xml:space="preserve">marks a tenth of its records as single-source invites the question why, and</w:t>
      </w:r>
      <w:r>
        <w:t xml:space="preserve"> </w:t>
      </w:r>
      <w:r>
        <w:t xml:space="preserve">a dataset that marks none invites nothing. The incentive runs the wrong way,</w:t>
      </w:r>
      <w:r>
        <w:t xml:space="preserve"> </w:t>
      </w:r>
      <w:r>
        <w:t xml:space="preserve">and it runs that way for public bodies most of all. The counter-argument is</w:t>
      </w:r>
      <w:r>
        <w:t xml:space="preserve"> </w:t>
      </w:r>
      <w:r>
        <w:t xml:space="preserve">that the weakness exists whether or not it is marked, and that the unmarked</w:t>
      </w:r>
      <w:r>
        <w:t xml:space="preserve"> </w:t>
      </w:r>
      <w:r>
        <w:t xml:space="preserve">version transfers the risk to users who cannot see it — but that argument has</w:t>
      </w:r>
      <w:r>
        <w:t xml:space="preserve"> </w:t>
      </w:r>
      <w:r>
        <w:t xml:space="preserve">to be made, because the default is silence.</w:t>
      </w:r>
    </w:p>
    <w:p>
      <w:pPr>
        <w:pStyle w:val="BodyText"/>
      </w:pPr>
      <w:r>
        <w:rPr>
          <w:bCs/>
          <w:b/>
        </w:rPr>
        <w:t xml:space="preserve">There is no convention to comply with.</w:t>
      </w:r>
      <w:r>
        <w:t xml:space="preserve"> </w:t>
      </w:r>
      <w:r>
        <w:t xml:space="preserve">Dataset documentation practice</w:t>
      </w:r>
      <w:r>
        <w:t xml:space="preserve"> </w:t>
      </w:r>
      <w:r>
        <w:t xml:space="preserve">addresses composition, collection and intended use; provenance at the level of</w:t>
      </w:r>
      <w:r>
        <w:t xml:space="preserve"> </w:t>
      </w:r>
      <w:r>
        <w:t xml:space="preserve">the individual record is not part of what a dataset is normally expected to</w:t>
      </w:r>
      <w:r>
        <w:t xml:space="preserve"> </w:t>
      </w:r>
      <w:r>
        <w:t xml:space="preserve">carry. A convention would change this faster than any argument about incentives,</w:t>
      </w:r>
      <w:r>
        <w:t xml:space="preserve"> </w:t>
      </w:r>
      <w:r>
        <w:t xml:space="preserve">which is the practical case for proposing a small and boring one rather than a</w:t>
      </w:r>
      <w:r>
        <w:t xml:space="preserve"> </w:t>
      </w:r>
      <w:r>
        <w:t xml:space="preserve">complete ontology that already exists and is not used.</w:t>
      </w:r>
    </w:p>
    <w:bookmarkEnd w:id="59"/>
    <w:bookmarkStart w:id="60" w:name="what-a-user-can-do-in-the-meantime"/>
    <w:p>
      <w:pPr>
        <w:pStyle w:val="Heading2"/>
      </w:pPr>
      <w:r>
        <w:t xml:space="preserve">What a user can do in the meantime</w:t>
      </w:r>
    </w:p>
    <w:p>
      <w:pPr>
        <w:pStyle w:val="FirstParagraph"/>
      </w:pPr>
      <w:r>
        <w:t xml:space="preserve">Most consumers of official data cannot change how it is published, and the</w:t>
      </w:r>
      <w:r>
        <w:t xml:space="preserve"> </w:t>
      </w:r>
      <w:r>
        <w:t xml:space="preserve">recommendations above are addressed to people who can. Three things are</w:t>
      </w:r>
      <w:r>
        <w:t xml:space="preserve"> </w:t>
      </w:r>
      <w:r>
        <w:t xml:space="preserve">available to everyone else, and this corpus is evidence for each.</w:t>
      </w:r>
    </w:p>
    <w:p>
      <w:pPr>
        <w:pStyle w:val="BodyText"/>
      </w:pPr>
      <w:r>
        <w:rPr>
          <w:bCs/>
          <w:b/>
        </w:rPr>
        <w:t xml:space="preserve">Retrieve more than once, and keep what you got.</w:t>
      </w:r>
      <w:r>
        <w:t xml:space="preserve"> </w:t>
      </w:r>
      <w:r>
        <w:t xml:space="preserve">Every discrepancy</w:t>
      </w:r>
      <w:r>
        <w:t xml:space="preserve"> </w:t>
      </w:r>
      <w:r>
        <w:t xml:space="preserve">reported in section 6 was found by comparing retrievals</w:t>
      </w:r>
      <w:r>
        <w:t xml:space="preserve"> </w:t>
      </w:r>
      <w:r>
        <w:t xml:space="preserve">— across time, across two parts of the same portal, or against an independent</w:t>
      </w:r>
      <w:r>
        <w:t xml:space="preserve"> </w:t>
      </w:r>
      <w:r>
        <w:t xml:space="preserve">reproduction. A single retrieval cannot detect any of them. Keeping the</w:t>
      </w:r>
      <w:r>
        <w:t xml:space="preserve"> </w:t>
      </w:r>
      <w:r>
        <w:t xml:space="preserve">response, rather than only the parsed result, costs almost nothing and is the</w:t>
      </w:r>
      <w:r>
        <w:t xml:space="preserve"> </w:t>
      </w:r>
      <w:r>
        <w:t xml:space="preserve">difference between noticing a source change and being silently overtaken by it.</w:t>
      </w:r>
    </w:p>
    <w:p>
      <w:pPr>
        <w:pStyle w:val="BodyText"/>
      </w:pPr>
      <w:r>
        <w:rPr>
          <w:bCs/>
          <w:b/>
        </w:rPr>
        <w:t xml:space="preserve">Treat a second source as a test, not a backup.</w:t>
      </w:r>
      <w:r>
        <w:t xml:space="preserve"> </w:t>
      </w:r>
      <w:r>
        <w:t xml:space="preserve">86.1 per cent of</w:t>
      </w:r>
      <w:r>
        <w:t xml:space="preserve"> </w:t>
      </w:r>
      <w:r>
        <w:t xml:space="preserve">articles here were compared against more than one source, and that comparison</w:t>
      </w:r>
      <w:r>
        <w:t xml:space="preserve"> </w:t>
      </w:r>
      <w:r>
        <w:t xml:space="preserve">is what located the defects recorded against 4.9 per cent of them — a</w:t>
      </w:r>
      <w:r>
        <w:t xml:space="preserve"> </w:t>
      </w:r>
      <w:r>
        <w:t xml:space="preserve">disagreement between sources in some cases, a corruption visible only once two</w:t>
      </w:r>
      <w:r>
        <w:t xml:space="preserve"> </w:t>
      </w:r>
      <w:r>
        <w:t xml:space="preserve">renderings of the same document were set side by side in others. A pipeline</w:t>
      </w:r>
      <w:r>
        <w:t xml:space="preserve"> </w:t>
      </w:r>
      <w:r>
        <w:t xml:space="preserve">that consults a second source only when the first fails gets the resilience and</w:t>
      </w:r>
      <w:r>
        <w:t xml:space="preserve"> </w:t>
      </w:r>
      <w:r>
        <w:t xml:space="preserve">forgoes the detection.</w:t>
      </w:r>
    </w:p>
    <w:p>
      <w:pPr>
        <w:pStyle w:val="BodyText"/>
      </w:pPr>
      <w:r>
        <w:rPr>
          <w:bCs/>
          <w:b/>
        </w:rPr>
        <w:t xml:space="preserve">Record what you could not do.</w:t>
      </w:r>
      <w:r>
        <w:t xml:space="preserve"> </w:t>
      </w:r>
      <w:r>
        <w:t xml:space="preserve">The most useful entries in this corpus’s</w:t>
      </w:r>
      <w:r>
        <w:t xml:space="preserve"> </w:t>
      </w:r>
      <w:r>
        <w:t xml:space="preserve">provenance field are the ones admitting a shortfall: single-source, portal</w:t>
      </w:r>
      <w:r>
        <w:t xml:space="preserve"> </w:t>
      </w:r>
      <w:r>
        <w:t xml:space="preserve">unreachable, amendment text unobtained, three-way divergence unresolved.</w:t>
      </w:r>
      <w:r>
        <w:t xml:space="preserve"> </w:t>
      </w:r>
      <w:r>
        <w:t xml:space="preserve">Recording a gap costs a field and preserves the option of returning to it;</w:t>
      </w:r>
      <w:r>
        <w:t xml:space="preserve"> </w:t>
      </w:r>
      <w:r>
        <w:t xml:space="preserve">leaving it blank makes a weak record indistinguishable from a strong one,</w:t>
      </w:r>
      <w:r>
        <w:t xml:space="preserve"> </w:t>
      </w:r>
      <w:r>
        <w:t xml:space="preserve">including to the person who created it.</w:t>
      </w:r>
    </w:p>
    <w:bookmarkEnd w:id="60"/>
    <w:bookmarkEnd w:id="61"/>
    <w:bookmarkStart w:id="62" w:name="applying-this-elsewhere"/>
    <w:p>
      <w:pPr>
        <w:pStyle w:val="Heading1"/>
      </w:pPr>
      <w:r>
        <w:t xml:space="preserve">Applying this elsewhere</w:t>
      </w:r>
    </w:p>
    <w:p>
      <w:pPr>
        <w:pStyle w:val="FirstParagraph"/>
      </w:pPr>
      <w:r>
        <w:t xml:space="preserve">Nothing in the method is specific to law, to Saudi Arabia, or to this corpus.</w:t>
      </w:r>
      <w:r>
        <w:t xml:space="preserve"> </w:t>
      </w:r>
      <w:r>
        <w:t xml:space="preserve">It requires one thing that is rare and not difficult: that whoever collects a</w:t>
      </w:r>
      <w:r>
        <w:t xml:space="preserve"> </w:t>
      </w:r>
      <w:r>
        <w:t xml:space="preserve">public dataset records what each retrieval attempt returned, at the time, in a</w:t>
      </w:r>
      <w:r>
        <w:t xml:space="preserve"> </w:t>
      </w:r>
      <w:r>
        <w:t xml:space="preserve">form a machine can read.</w:t>
      </w:r>
    </w:p>
    <w:p>
      <w:pPr>
        <w:pStyle w:val="BodyText"/>
      </w:pPr>
      <w:r>
        <w:t xml:space="preserve">A group building any collection from an official source can produce the</w:t>
      </w:r>
      <w:r>
        <w:t xml:space="preserve"> </w:t>
      </w:r>
      <w:r>
        <w:t xml:space="preserve">measurements in this article by populating Table 2 during</w:t>
      </w:r>
      <w:r>
        <w:t xml:space="preserve"> </w:t>
      </w:r>
      <w:r>
        <w:t xml:space="preserve">collection and running three counts afterwards — the share of records whose</w:t>
      </w:r>
      <w:r>
        <w:t xml:space="preserve"> </w:t>
      </w:r>
      <w:r>
        <w:t xml:space="preserve">live source failed, the share recovered through an archive and the overlap</w:t>
      </w:r>
      <w:r>
        <w:t xml:space="preserve"> </w:t>
      </w:r>
      <w:r>
        <w:t xml:space="preserve">between them, and the share resting on a single source. The analysis here is</w:t>
      </w:r>
      <w:r>
        <w:t xml:space="preserve"> </w:t>
      </w:r>
      <w:r>
        <w:t xml:space="preserve">about 460 lines of code, and the largest single part of it is the</w:t>
      </w:r>
      <w:r>
        <w:t xml:space="preserve"> </w:t>
      </w:r>
      <w:r>
        <w:t xml:space="preserve">classification of free text that a schema would have made unnecessary.</w:t>
      </w:r>
    </w:p>
    <w:p>
      <w:pPr>
        <w:pStyle w:val="BodyText"/>
      </w:pPr>
      <w:r>
        <w:t xml:space="preserve">Two adjustments would be needed outside the legal domain. Where a dataset has</w:t>
      </w:r>
      <w:r>
        <w:t xml:space="preserve"> </w:t>
      </w:r>
      <w:r>
        <w:t xml:space="preserve">no single authoritative version — a statistical series revised on a schedule,</w:t>
      </w:r>
      <w:r>
        <w:t xml:space="preserve"> </w:t>
      </w:r>
      <w:r>
        <w:t xml:space="preserve">say —</w:t>
      </w:r>
      <w:r>
        <w:t xml:space="preserve"> </w:t>
      </w:r>
      <w:r>
        <w:rPr>
          <w:rStyle w:val="VerbatimChar"/>
        </w:rPr>
        <w:t xml:space="preserve">discrepancy</w:t>
      </w:r>
      <w:r>
        <w:t xml:space="preserve"> </w:t>
      </w:r>
      <w:r>
        <w:t xml:space="preserve">carries more weight than</w:t>
      </w:r>
      <w:r>
        <w:t xml:space="preserve"> </w:t>
      </w:r>
      <w:r>
        <w:rPr>
          <w:rStyle w:val="VerbatimChar"/>
        </w:rPr>
        <w:t xml:space="preserve">corroboration</w:t>
      </w:r>
      <w:r>
        <w:t xml:space="preserve">,</w:t>
      </w:r>
      <w:r>
        <w:t xml:space="preserve"> </w:t>
      </w:r>
      <w:r>
        <w:t xml:space="preserve">because disagreement between two sources may be a legitimate revision rather</w:t>
      </w:r>
      <w:r>
        <w:t xml:space="preserve"> </w:t>
      </w:r>
      <w:r>
        <w:t xml:space="preserve">than an error. And where records are produced continuously rather than</w:t>
      </w:r>
      <w:r>
        <w:t xml:space="preserve"> </w:t>
      </w:r>
      <w:r>
        <w:t xml:space="preserve">enacted, availability should be sampled over time rather than observed once at</w:t>
      </w:r>
      <w:r>
        <w:t xml:space="preserve"> </w:t>
      </w:r>
      <w:r>
        <w:t xml:space="preserve">collection, which turns a build-time snapshot into the monitoring study this</w:t>
      </w:r>
      <w:r>
        <w:t xml:space="preserve"> </w:t>
      </w:r>
      <w:r>
        <w:t xml:space="preserve">one explicitly is not.</w:t>
      </w:r>
    </w:p>
    <w:p>
      <w:pPr>
        <w:pStyle w:val="BodyText"/>
      </w:pPr>
      <w:r>
        <w:t xml:space="preserve">The comparison that would be most useful is the obvious one: the same</w:t>
      </w:r>
      <w:r>
        <w:t xml:space="preserve"> </w:t>
      </w:r>
      <w:r>
        <w:t xml:space="preserve">measurements, for the same kind of source, in several jurisdictions. This</w:t>
      </w:r>
      <w:r>
        <w:t xml:space="preserve"> </w:t>
      </w:r>
      <w:r>
        <w:t xml:space="preserve">article can say that a fifth of one state’s published legal record was</w:t>
      </w:r>
      <w:r>
        <w:t xml:space="preserve"> </w:t>
      </w:r>
      <w:r>
        <w:t xml:space="preserve">unreachable when someone tried to collect it. Whether that is typical,</w:t>
      </w:r>
      <w:r>
        <w:t xml:space="preserve"> </w:t>
      </w:r>
      <w:r>
        <w:t xml:space="preserve">unusually good or unusually bad is not knowable from a single case, and it is</w:t>
      </w:r>
      <w:r>
        <w:t xml:space="preserve"> </w:t>
      </w:r>
      <w:r>
        <w:t xml:space="preserve">the first question any reader should ask.</w:t>
      </w:r>
    </w:p>
    <w:bookmarkEnd w:id="62"/>
    <w:bookmarkStart w:id="68" w:name="limitations"/>
    <w:p>
      <w:pPr>
        <w:pStyle w:val="Heading1"/>
      </w:pPr>
      <w:r>
        <w:t xml:space="preserve">Limitations</w:t>
      </w:r>
    </w:p>
    <w:bookmarkStart w:id="63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63"/>
    <w:bookmarkStart w:id="64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64"/>
    <w:bookmarkStart w:id="65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65"/>
    <w:bookmarkStart w:id="66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66"/>
    <w:bookmarkStart w:id="67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67"/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Governments publish law, and increasingly the audience is machinery. This</w:t>
      </w:r>
      <w:r>
        <w:t xml:space="preserve"> </w:t>
      </w:r>
      <w:r>
        <w:t xml:space="preserve">article asked whether the record that machinery consumes is available when</w:t>
      </w:r>
      <w:r>
        <w:t xml:space="preserve"> </w:t>
      </w:r>
      <w:r>
        <w:t xml:space="preserve">needed and consistent when read, using the only evidence that can answer it: a</w:t>
      </w:r>
      <w:r>
        <w:t xml:space="preserve"> </w:t>
      </w:r>
      <w:r>
        <w:t xml:space="preserve">contemporaneous account of what each retrieval attempt actually returned.</w:t>
      </w:r>
    </w:p>
    <w:p>
      <w:pPr>
        <w:pStyle w:val="BodyText"/>
      </w:pPr>
      <w:r>
        <w:t xml:space="preserve">For roughly two thirds of one state’s published legal corpus, the answer is</w:t>
      </w:r>
      <w:r>
        <w:t xml:space="preserve"> </w:t>
      </w:r>
      <w:r>
        <w:t xml:space="preserve">straightforwardly yes — two or more official sources, in agreement, obtained</w:t>
      </w:r>
      <w:r>
        <w:t xml:space="preserve"> </w:t>
      </w:r>
      <w:r>
        <w:t xml:space="preserve">without difficulty. For the rest it is qualified. The official source could not</w:t>
      </w:r>
      <w:r>
        <w:t xml:space="preserve"> </w:t>
      </w:r>
      <w:r>
        <w:t xml:space="preserve">be reached for one article in five. One article in five arrived through a web</w:t>
      </w:r>
      <w:r>
        <w:t xml:space="preserve"> </w:t>
      </w:r>
      <w:r>
        <w:t xml:space="preserve">archive, and two thirds of those cases coincide with a live source that would</w:t>
      </w:r>
      <w:r>
        <w:t xml:space="preserve"> </w:t>
      </w:r>
      <w:r>
        <w:t xml:space="preserve">not respond. One instrument in seven had to be read as images. Around a sixth</w:t>
      </w:r>
      <w:r>
        <w:t xml:space="preserve"> </w:t>
      </w:r>
      <w:r>
        <w:t xml:space="preserve">to a quarter of the corpus, depending on the unit counted, rests on evidence a</w:t>
      </w:r>
      <w:r>
        <w:t xml:space="preserve"> </w:t>
      </w:r>
      <w:r>
        <w:t xml:space="preserve">careful user would want to treat as less than fully attested. In four</w:t>
      </w:r>
      <w:r>
        <w:t xml:space="preserve"> </w:t>
      </w:r>
      <w:r>
        <w:t xml:space="preserve">instruments the record contradicts itself, and in each the contradiction is</w:t>
      </w:r>
      <w:r>
        <w:t xml:space="preserve"> </w:t>
      </w:r>
      <w:r>
        <w:t xml:space="preserve">between two things the same official portal publishes.</w:t>
      </w:r>
    </w:p>
    <w:p>
      <w:pPr>
        <w:pStyle w:val="BodyText"/>
      </w:pPr>
      <w:r>
        <w:t xml:space="preserve">None of this makes the law unknowable, and none of it is an accusation. Legal</w:t>
      </w:r>
      <w:r>
        <w:t xml:space="preserve"> </w:t>
      </w:r>
      <w:r>
        <w:t xml:space="preserve">publication in this jurisdiction is extensive, it is free, and for most of the</w:t>
      </w:r>
      <w:r>
        <w:t xml:space="preserve"> </w:t>
      </w:r>
      <w:r>
        <w:t xml:space="preserve">corpus it worked. The finding is narrower and more actionable: the gap is</w:t>
      </w:r>
      <w:r>
        <w:t xml:space="preserve"> </w:t>
      </w:r>
      <w:r>
        <w:t xml:space="preserve">between how those who build on official data assume it behaves and how it was</w:t>
      </w:r>
      <w:r>
        <w:t xml:space="preserve"> </w:t>
      </w:r>
      <w:r>
        <w:t xml:space="preserve">observed to behave across one sustained attempt to use it — and nothing</w:t>
      </w:r>
      <w:r>
        <w:t xml:space="preserve"> </w:t>
      </w:r>
      <w:r>
        <w:t xml:space="preserve">published alongside the data tells a user which case they are in.</w:t>
      </w:r>
    </w:p>
    <w:p>
      <w:pPr>
        <w:pStyle w:val="BodyText"/>
      </w:pPr>
      <w:r>
        <w:t xml:space="preserve">Three things would close that gap, and none requires better sources, which is</w:t>
      </w:r>
      <w:r>
        <w:t xml:space="preserve"> </w:t>
      </w:r>
      <w:r>
        <w:t xml:space="preserve">nobody’s to promise. Record availability as a service property rather than an</w:t>
      </w:r>
      <w:r>
        <w:t xml:space="preserve"> </w:t>
      </w:r>
      <w:r>
        <w:t xml:space="preserve">assumption. Deposit the record rather than relying on third-party archives that</w:t>
      </w:r>
      <w:r>
        <w:t xml:space="preserve"> </w:t>
      </w:r>
      <w:r>
        <w:t xml:space="preserve">have taken on no obligation. And carry the strength of the evidence with each</w:t>
      </w:r>
      <w:r>
        <w:t xml:space="preserve"> </w:t>
      </w:r>
      <w:r>
        <w:t xml:space="preserve">record, in five closed fields rather than a sentence.</w:t>
      </w:r>
    </w:p>
    <w:p>
      <w:pPr>
        <w:pStyle w:val="BodyText"/>
      </w:pPr>
      <w:r>
        <w:t xml:space="preserve">The last of these is the one this article can demonstrate rather than argue.</w:t>
      </w:r>
      <w:r>
        <w:t xml:space="preserve"> </w:t>
      </w:r>
      <w:r>
        <w:t xml:space="preserve">Everything measured here was recoverable only because someone wrote down, at</w:t>
      </w:r>
      <w:r>
        <w:t xml:space="preserve"> </w:t>
      </w:r>
      <w:r>
        <w:t xml:space="preserve">the time, what each attempt returned. That they wrote it in prose is why the</w:t>
      </w:r>
      <w:r>
        <w:t xml:space="preserve"> </w:t>
      </w:r>
      <w:r>
        <w:t xml:space="preserve">analysis needed a classifier, a published mapping and two rounds of correction</w:t>
      </w:r>
      <w:r>
        <w:t xml:space="preserve"> </w:t>
      </w:r>
      <w:r>
        <w:t xml:space="preserve">before it could report a number — and why nearly a quarter of the values</w:t>
      </w:r>
      <w:r>
        <w:t xml:space="preserve"> </w:t>
      </w:r>
      <w:r>
        <w:t xml:space="preserve">turned out not to be provenance at all. The record was worth keeping. It was</w:t>
      </w:r>
      <w:r>
        <w:t xml:space="preserve"> </w:t>
      </w:r>
      <w:r>
        <w:t xml:space="preserve">kept in the wrong shape. Both halves of that sentence are the finding.</w:t>
      </w:r>
    </w:p>
    <w:bookmarkEnd w:id="69"/>
    <w:bookmarkStart w:id="80" w:name="acknowledgements-and-declarations"/>
    <w:p>
      <w:pPr>
        <w:pStyle w:val="Heading1"/>
      </w:pPr>
      <w:r>
        <w:t xml:space="preserve">Acknowledgements and declarations</w:t>
      </w:r>
    </w:p>
    <w:bookmarkStart w:id="70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 funding was received for conducting this study.</w:t>
      </w:r>
    </w:p>
    <w:bookmarkEnd w:id="70"/>
    <w:bookmarkStart w:id="71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71"/>
    <w:bookmarkStart w:id="72" w:name="ethics-approval."/>
    <w:p>
      <w:pPr>
        <w:pStyle w:val="Heading4"/>
      </w:pPr>
      <w:r>
        <w:t xml:space="preserve">Ethics approval.</w:t>
      </w:r>
    </w:p>
    <w:p>
      <w:pPr>
        <w:pStyle w:val="FirstParagraph"/>
      </w:pPr>
      <w:r>
        <w:t xml:space="preserve">Not applicable. The study involves no human</w:t>
      </w:r>
      <w:r>
        <w:t xml:space="preserve"> </w:t>
      </w:r>
      <w:r>
        <w:t xml:space="preserve">participants, no animal subjects and no personal data; it analyses published</w:t>
      </w:r>
      <w:r>
        <w:t xml:space="preserve"> </w:t>
      </w:r>
      <w:r>
        <w:t xml:space="preserve">national legislation and the build record of an openly published corpus.</w:t>
      </w:r>
    </w:p>
    <w:bookmarkEnd w:id="72"/>
    <w:bookmarkStart w:id="73" w:name="declaration-of-generative-ai-use."/>
    <w:p>
      <w:pPr>
        <w:pStyle w:val="Heading4"/>
      </w:pPr>
      <w:r>
        <w:t xml:space="preserve">Declaration of generative AI use.</w:t>
      </w:r>
    </w:p>
    <w:p>
      <w:pPr>
        <w:pStyle w:val="FirstParagraph"/>
      </w:pPr>
      <w:r>
        <w:rPr>
          <w:iCs/>
          <w:i/>
        </w:rPr>
        <w:t xml:space="preserve">Tool:</w:t>
      </w:r>
      <w:r>
        <w:t xml:space="preserve"> </w:t>
      </w:r>
      <w:r>
        <w:t xml:space="preserve">Claude Opus 5</w:t>
      </w:r>
      <w:r>
        <w:t xml:space="preserve"> </w:t>
      </w:r>
      <w:r>
        <w:t xml:space="preserve">(Anthropic).</w:t>
      </w:r>
      <w:r>
        <w:t xml:space="preserve"> </w:t>
      </w:r>
      <w:r>
        <w:rPr>
          <w:iCs/>
          <w:i/>
        </w:rPr>
        <w:t xml:space="preserve">How it was used:</w:t>
      </w:r>
      <w:r>
        <w:t xml:space="preserve"> </w:t>
      </w:r>
      <w:r>
        <w:t xml:space="preserve">as a research assistant throughout — to</w:t>
      </w:r>
      <w:r>
        <w:t xml:space="preserve"> </w:t>
      </w:r>
      <w:r>
        <w:t xml:space="preserve">write the analysis and figure scripts that produce every number and figure</w:t>
      </w:r>
      <w:r>
        <w:t xml:space="preserve"> </w:t>
      </w:r>
      <w:r>
        <w:t xml:space="preserve">reported here, to draft and revise the manuscript, and to run adversarial</w:t>
      </w:r>
      <w:r>
        <w:t xml:space="preserve"> </w:t>
      </w:r>
      <w:r>
        <w:t xml:space="preserve">checks against its own claims, which caught errors before submission.</w:t>
      </w:r>
      <w:r>
        <w:t xml:space="preserve"> </w:t>
      </w:r>
      <w:r>
        <w:rPr>
          <w:iCs/>
          <w:i/>
        </w:rPr>
        <w:t xml:space="preserve">Reason for use:</w:t>
      </w:r>
      <w:r>
        <w:t xml:space="preserve"> </w:t>
      </w:r>
      <w:r>
        <w:t xml:space="preserve">the study required classifying and auditing a free-text</w:t>
      </w:r>
      <w:r>
        <w:t xml:space="preserve"> </w:t>
      </w:r>
      <w:r>
        <w:t xml:space="preserve">provenance record across 15,408 articles, work that is not feasible by hand at</w:t>
      </w:r>
      <w:r>
        <w:t xml:space="preserve"> </w:t>
      </w:r>
      <w:r>
        <w:t xml:space="preserve">that scale for a single researcher. The author set the research question,</w:t>
      </w:r>
      <w:r>
        <w:t xml:space="preserve"> </w:t>
      </w:r>
      <w:r>
        <w:t xml:space="preserve">directed the analysis, verified the outputs against the underlying records, and</w:t>
      </w:r>
      <w:r>
        <w:t xml:space="preserve"> </w:t>
      </w:r>
      <w:r>
        <w:t xml:space="preserve">is responsible for the content. Every number and figure is regenerated by the</w:t>
      </w:r>
      <w:r>
        <w:t xml:space="preserve"> </w:t>
      </w:r>
      <w:r>
        <w:t xml:space="preserve">openly published scripts from the openly published corpus.</w:t>
      </w:r>
    </w:p>
    <w:bookmarkEnd w:id="73"/>
    <w:bookmarkStart w:id="74" w:name="credit-roles."/>
    <w:p>
      <w:pPr>
        <w:pStyle w:val="Heading4"/>
      </w:pPr>
      <w:r>
        <w:t xml:space="preserve">CRediT roles.</w:t>
      </w:r>
    </w:p>
    <w:p>
      <w:pPr>
        <w:pStyle w:val="FirstParagraph"/>
      </w:pPr>
      <w:r>
        <w:t xml:space="preserve">A. Almohammedi: conceptualisation, data curation,</w:t>
      </w:r>
      <w:r>
        <w:t xml:space="preserve"> </w:t>
      </w:r>
      <w:r>
        <w:t xml:space="preserve">methodology, software, formal analysis, investigation, writing — original</w:t>
      </w:r>
      <w:r>
        <w:t xml:space="preserve"> </w:t>
      </w:r>
      <w:r>
        <w:t xml:space="preserve">draft, writing — review and editing.</w:t>
      </w:r>
    </w:p>
    <w:bookmarkEnd w:id="74"/>
    <w:bookmarkStart w:id="78" w:name="data-availability."/>
    <w:p>
      <w:pPr>
        <w:pStyle w:val="Heading4"/>
      </w:pPr>
      <w:r>
        <w:t xml:space="preserve">Data availability.</w:t>
      </w:r>
    </w:p>
    <w:p>
      <w:pPr>
        <w:pStyle w:val="FirstParagraph"/>
      </w:pPr>
      <w:r>
        <w:t xml:space="preserve">The corpus, its provenance and verification</w:t>
      </w:r>
      <w:r>
        <w:t xml:space="preserve"> </w:t>
      </w:r>
      <w:r>
        <w:t xml:space="preserve">layers, and the analysis and figure scripts that reproduce every number and</w:t>
      </w:r>
      <w:r>
        <w:t xml:space="preserve"> </w:t>
      </w:r>
      <w:r>
        <w:t xml:space="preserve">figure reported here are openly available at</w:t>
      </w:r>
      <w:r>
        <w:t xml:space="preserve"> </w:t>
      </w:r>
      <w:hyperlink r:id="rId7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 archived on</w:t>
      </w:r>
      <w:r>
        <w:t xml:space="preserve"> </w:t>
      </w:r>
      <w:r>
        <w:t xml:space="preserve">Zenodo under the MIT licence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77">
        <w:r>
          <w:rPr>
            <w:rStyle w:val="Hyperlink"/>
          </w:rPr>
          <w:t xml:space="preserve">10.5281/zenodo.22019182</w:t>
        </w:r>
      </w:hyperlink>
      <w:r>
        <w:t xml:space="preserve">).</w:t>
      </w:r>
      <w:r>
        <w:t xml:space="preserve"> </w:t>
      </w:r>
      <w:r>
        <w:t xml:space="preserve">The full string-to-classification table on which section 4 rests is published</w:t>
      </w:r>
      <w:r>
        <w:t xml:space="preserve"> </w:t>
      </w:r>
      <w:r>
        <w:t xml:space="preserve">with the analysis results.</w:t>
      </w:r>
    </w:p>
    <w:bookmarkEnd w:id="78"/>
    <w:bookmarkStart w:id="79" w:name="legal-status."/>
    <w:p>
      <w:pPr>
        <w:pStyle w:val="Heading4"/>
      </w:pPr>
      <w:r>
        <w:t xml:space="preserve">Legal status.</w:t>
      </w:r>
    </w:p>
    <w:p>
      <w:pPr>
        <w:pStyle w:val="FirstParagraph"/>
      </w:pPr>
      <w:r>
        <w:t xml:space="preserve">This article analyses a non-official research corpus.</w:t>
      </w:r>
      <w:r>
        <w:t xml:space="preserve"> </w:t>
      </w:r>
      <w:r>
        <w:t xml:space="preserve">Nothing here constitutes legal advice, and the binding text of any instrument</w:t>
      </w:r>
      <w:r>
        <w:t xml:space="preserve"> </w:t>
      </w:r>
      <w:r>
        <w:t xml:space="preserve">is the 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Mark D Wilkinson and others,</w:t>
      </w:r>
      <w:r>
        <w:t xml:space="preserve"> </w:t>
      </w:r>
      <w:r>
        <w:t xml:space="preserve">‘</w:t>
      </w:r>
      <w:r>
        <w:t xml:space="preserve">The FAIR Guiding</w:t>
      </w:r>
      <w:r>
        <w:t xml:space="preserve"> </w:t>
      </w:r>
      <w:r>
        <w:t xml:space="preserve">Principles for Scientific Data Management and Stewardship</w:t>
      </w:r>
      <w:r>
        <w:t xml:space="preserve">’</w:t>
      </w:r>
      <w:r>
        <w:t xml:space="preserve"> </w:t>
      </w:r>
      <w:r>
        <w:t xml:space="preserve">(2016) 3 Scientific</w:t>
      </w:r>
      <w:r>
        <w:t xml:space="preserve"> </w:t>
      </w:r>
      <w:r>
        <w:t xml:space="preserve">Data 160018.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Timothy Lebo, Satya Sahoo and Deborah McGuinness (eds),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 </w:t>
      </w:r>
      <w:r>
        <w:t xml:space="preserve">(W3C Recommendation, 30 April 2013)</w:t>
      </w:r>
      <w:r>
        <w:t xml:space="preserve"> </w:t>
      </w:r>
      <w:r>
        <w:t xml:space="preserve">&lt;http://www.w3.org/TR/2013/REC-prov-o-20130430/&gt;.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7" Target="https://doi.org/10.5281/zenodo.22019182" TargetMode="External" /><Relationship Type="http://schemas.openxmlformats.org/officeDocument/2006/relationships/hyperlink" Id="rId76" Target="https://doi.org/10.5281/zenodo.22019183" TargetMode="External" /><Relationship Type="http://schemas.openxmlformats.org/officeDocument/2006/relationships/hyperlink" Id="rId75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doi.org/10.5281/zenodo.22019182" TargetMode="External" /><Relationship Type="http://schemas.openxmlformats.org/officeDocument/2006/relationships/hyperlink" Id="rId76" Target="https://doi.org/10.5281/zenodo.22019183" TargetMode="External" /><Relationship Type="http://schemas.openxmlformats.org/officeDocument/2006/relationships/hyperlink" Id="rId75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You Build on the Official Record? Availability, Consistency and Provenance in a State’s Published Law</dc:title>
  <dc:creator>Abdullah Almohammedi Independent Researcher abdullah.m.almohammedi@gmail.com ORCID: 0009-0001-0832-0995</dc:creator>
  <cp:keywords/>
  <dcterms:created xsi:type="dcterms:W3CDTF">2026-08-21T08:42:46Z</dcterms:created>
  <dcterms:modified xsi:type="dcterms:W3CDTF">2026-08-21T08:42:46Z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