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</w:t>
      </w:r>
      <w:r>
        <w:t xml:space="preserve"> </w:t>
      </w:r>
      <w:r>
        <w:t xml:space="preserve">Changes,</w:t>
      </w:r>
      <w:r>
        <w:t xml:space="preserve"> </w:t>
      </w:r>
      <w:r>
        <w:t xml:space="preserve">and</w:t>
      </w:r>
      <w:r>
        <w:t xml:space="preserve"> </w:t>
      </w:r>
      <w:r>
        <w:t xml:space="preserve">Where?</w:t>
      </w:r>
      <w:r>
        <w:br/>
      </w:r>
      <w:r>
        <w:t xml:space="preserve">Legislative</w:t>
      </w:r>
      <w:r>
        <w:t xml:space="preserve"> </w:t>
      </w:r>
      <w:r>
        <w:t xml:space="preserve">Churn</w:t>
      </w:r>
      <w:r>
        <w:t xml:space="preserve"> </w:t>
      </w:r>
      <w:r>
        <w:t xml:space="preserve">Across</w:t>
      </w:r>
      <w:r>
        <w:t xml:space="preserve"> </w:t>
      </w:r>
      <w:r>
        <w:t xml:space="preserve">Saudi</w:t>
      </w:r>
      <w:r>
        <w:t xml:space="preserve"> </w:t>
      </w:r>
      <w:r>
        <w:t xml:space="preserve">Arabian</w:t>
      </w:r>
      <w:r>
        <w:t xml:space="preserve"> </w:t>
      </w:r>
      <w:r>
        <w:t xml:space="preserve">Legislation</w:t>
      </w:r>
    </w:p>
    <w:p>
      <w:pPr>
        <w:pStyle w:val="FirstParagraph"/>
      </w:pPr>
      <w:r>
        <w:rPr>
          <w:bCs/>
          <w:b/>
        </w:rPr>
        <w:t xml:space="preserve">What Changes, and Where? Legislative Churn Across Saudi Arabian Legislation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Seventy-five of the articles of the Saudi Law of Sharia Procedure have been</w:t>
      </w:r>
      <w:r>
        <w:t xml:space="preserve"> </w:t>
      </w:r>
      <w:r>
        <w:t xml:space="preserve">repealed. The instrument is still in force, still cited, and still read by</w:t>
      </w:r>
      <w:r>
        <w:t xml:space="preserve"> </w:t>
      </w:r>
      <w:r>
        <w:t xml:space="preserve">practitioners — but more than a third of it no longer says anything. How</w:t>
      </w:r>
      <w:r>
        <w:t xml:space="preserve"> </w:t>
      </w:r>
      <w:r>
        <w:t xml:space="preserve">common is that? Legal systems are usually studied as they stand at a moment,</w:t>
      </w:r>
      <w:r>
        <w:t xml:space="preserve"> </w:t>
      </w:r>
      <w:r>
        <w:t xml:space="preserve">because the evidence to study them as they move has not existed. Using a</w:t>
      </w:r>
      <w:r>
        <w:t xml:space="preserve"> </w:t>
      </w:r>
      <w:r>
        <w:t xml:space="preserve">machine-readable corpus in which 13,089 articles across 272 Saudi legislative</w:t>
      </w:r>
      <w:r>
        <w:t xml:space="preserve"> </w:t>
      </w:r>
      <w:r>
        <w:t xml:space="preserve">instruments carry a verified legal status, this article measures what</w:t>
      </w:r>
      <w:r>
        <w:t xml:space="preserve"> </w:t>
      </w:r>
      <w:r>
        <w:t xml:space="preserve">changes. Some 973 articles — 7.4 per cent — are no longer in their</w:t>
      </w:r>
      <w:r>
        <w:t xml:space="preserve"> </w:t>
      </w:r>
      <w:r>
        <w:t xml:space="preserve">original form: 730 amended, 138 repealed, 105 added. That change is very</w:t>
      </w:r>
      <w:r>
        <w:t xml:space="preserve"> </w:t>
      </w:r>
      <w:r>
        <w:t xml:space="preserve">unevenly spread. Nearly three-fifths of instruments record no change at all,</w:t>
      </w:r>
      <w:r>
        <w:t xml:space="preserve"> </w:t>
      </w:r>
      <w:r>
        <w:t xml:space="preserve">and the Gini coefficient of changed articles across instruments is 0.82.</w:t>
      </w:r>
      <w:r>
        <w:t xml:space="preserve"> </w:t>
      </w:r>
      <w:r>
        <w:t xml:space="preserve">Instruments change in characteristically different ways, so that a single</w:t>
      </w:r>
      <w:r>
        <w:t xml:space="preserve"> </w:t>
      </w:r>
      <w:r>
        <w:t xml:space="preserve">count of</w:t>
      </w:r>
      <w:r>
        <w:t xml:space="preserve"> </w:t>
      </w:r>
      <w:r>
        <w:t xml:space="preserve">‘</w:t>
      </w:r>
      <w:r>
        <w:t xml:space="preserve">amendments</w:t>
      </w:r>
      <w:r>
        <w:t xml:space="preserve">’</w:t>
      </w:r>
      <w:r>
        <w:t xml:space="preserve"> </w:t>
      </w:r>
      <w:r>
        <w:t xml:space="preserve">conceals more than it reveals: one instrument is</w:t>
      </w:r>
      <w:r>
        <w:t xml:space="preserve"> </w:t>
      </w:r>
      <w:r>
        <w:t xml:space="preserve">hollowed out by repeal, another accretes new articles, a third is rewritten</w:t>
      </w:r>
      <w:r>
        <w:t xml:space="preserve"> </w:t>
      </w:r>
      <w:r>
        <w:t xml:space="preserve">in place. Two findings connect this to how a legal system is used. Instruments</w:t>
      </w:r>
      <w:r>
        <w:t xml:space="preserve"> </w:t>
      </w:r>
      <w:r>
        <w:t xml:space="preserve">that other instruments cite change substantially more than instruments nobody</w:t>
      </w:r>
      <w:r>
        <w:t xml:space="preserve"> </w:t>
      </w:r>
      <w:r>
        <w:t xml:space="preserve">cites — 10.7 per cent against 6.1 per cent, rising to 13.4 per cent for the</w:t>
      </w:r>
      <w:r>
        <w:t xml:space="preserve"> </w:t>
      </w:r>
      <w:r>
        <w:t xml:space="preserve">fifteen most cited — although age is not controlled for and may explain some</w:t>
      </w:r>
      <w:r>
        <w:t xml:space="preserve"> </w:t>
      </w:r>
      <w:r>
        <w:t xml:space="preserve">of it. And cross-instrument references are more than twice as likely as the</w:t>
      </w:r>
      <w:r>
        <w:t xml:space="preserve"> </w:t>
      </w:r>
      <w:r>
        <w:t xml:space="preserve">base rate to point at an article that has since changed, while an instrument’s</w:t>
      </w:r>
      <w:r>
        <w:t xml:space="preserve"> </w:t>
      </w:r>
      <w:r>
        <w:t xml:space="preserve">references to its own articles are not: drafters maintain their own internal</w:t>
      </w:r>
      <w:r>
        <w:t xml:space="preserve"> </w:t>
      </w:r>
      <w:r>
        <w:t xml:space="preserve">references and cannot maintain anyone else’s.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legislative amendment; consolidation;</w:t>
      </w:r>
      <w:r>
        <w:t xml:space="preserve"> </w:t>
      </w:r>
      <w:r>
        <w:t xml:space="preserve">statutory maintenance; Saudi Arabia; legal corpora; empirical legal studies</w:t>
      </w:r>
    </w:p>
    <w:bookmarkEnd w:id="20"/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 practitioner opens the Law of Sharia Procedure and turns to article 60. It</w:t>
      </w:r>
      <w:r>
        <w:t xml:space="preserve"> </w:t>
      </w:r>
      <w:r>
        <w:t xml:space="preserve">is not there — or rather, it is there and it is empty, repealed and left in</w:t>
      </w:r>
      <w:r>
        <w:t xml:space="preserve"> </w:t>
      </w:r>
      <w:r>
        <w:t xml:space="preserve">place so that the numbering of the articles around it survives. Seventy-five</w:t>
      </w:r>
      <w:r>
        <w:t xml:space="preserve"> </w:t>
      </w:r>
      <w:r>
        <w:t xml:space="preserve">of that instrument’s articles are in the same condition. It remains in force;</w:t>
      </w:r>
      <w:r>
        <w:t xml:space="preserve"> </w:t>
      </w:r>
      <w:r>
        <w:t xml:space="preserve">what remains of it is roughly two-thirds of what was enacted.</w:t>
      </w:r>
    </w:p>
    <w:p>
      <w:pPr>
        <w:pStyle w:val="BodyText"/>
      </w:pPr>
      <w:r>
        <w:t xml:space="preserve">This is not a defect peculiar to one statute. It is what a working legal</w:t>
      </w:r>
      <w:r>
        <w:t xml:space="preserve"> </w:t>
      </w:r>
      <w:r>
        <w:t xml:space="preserve">system looks like from the inside. Statutes are amended, articles are</w:t>
      </w:r>
      <w:r>
        <w:t xml:space="preserve"> </w:t>
      </w:r>
      <w:r>
        <w:t xml:space="preserve">repealed, new articles are inserted, and the instrument a reader holds is a</w:t>
      </w:r>
      <w:r>
        <w:t xml:space="preserve"> </w:t>
      </w:r>
      <w:r>
        <w:t xml:space="preserve">composite of enactments made across decades. Every legal system does this.</w:t>
      </w:r>
      <w:r>
        <w:t xml:space="preserve"> </w:t>
      </w:r>
      <w:r>
        <w:t xml:space="preserve">What no legal system has been able to say, until recently and for very few</w:t>
      </w:r>
      <w:r>
        <w:t xml:space="preserve"> </w:t>
      </w:r>
      <w:r>
        <w:t xml:space="preserve">jurisdictions, is how much of it does it, where, and how far.</w:t>
      </w:r>
    </w:p>
    <w:p>
      <w:pPr>
        <w:pStyle w:val="BodyText"/>
      </w:pPr>
      <w:r>
        <w:t xml:space="preserve">The obstacle is evidential. Measuring change requires knowing, for each</w:t>
      </w:r>
      <w:r>
        <w:t xml:space="preserve"> </w:t>
      </w:r>
      <w:r>
        <w:t xml:space="preserve">article, whether it is the article originally enacted — and legal databases</w:t>
      </w:r>
      <w:r>
        <w:t xml:space="preserve"> </w:t>
      </w:r>
      <w:r>
        <w:t xml:space="preserve">usually present the consolidated current text, silently. The history is</w:t>
      </w:r>
      <w:r>
        <w:t xml:space="preserve"> </w:t>
      </w:r>
      <w:r>
        <w:t xml:space="preserve">either absent, or present as prose a human must read. There is no jurisdiction</w:t>
      </w:r>
      <w:r>
        <w:t xml:space="preserve"> </w:t>
      </w:r>
      <w:r>
        <w:t xml:space="preserve">in the Arab world for which the question has been asked at corpus scale, and</w:t>
      </w:r>
      <w:r>
        <w:t xml:space="preserve"> </w:t>
      </w:r>
      <w:r>
        <w:t xml:space="preserve">few anywhere.</w:t>
      </w:r>
    </w:p>
    <w:p>
      <w:pPr>
        <w:pStyle w:val="BodyText"/>
      </w:pPr>
      <w:r>
        <w:t xml:space="preserve">This article asks it for Saudi Arabia. It uses a corpus in which every article</w:t>
      </w:r>
      <w:r>
        <w:t xml:space="preserve"> </w:t>
      </w:r>
      <w:r>
        <w:t xml:space="preserve">verified against an official source carries a legal status — original,</w:t>
      </w:r>
      <w:r>
        <w:t xml:space="preserve"> </w:t>
      </w:r>
      <w:r>
        <w:t xml:space="preserve">amended, repealed or added — covering 13,089 articles across 272</w:t>
      </w:r>
      <w:r>
        <w:t xml:space="preserve"> </w:t>
      </w:r>
      <w:r>
        <w:t xml:space="preserve">instruments.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Saudi Arabia is a good case for the same reason it was a good case for</w:t>
      </w:r>
      <w:r>
        <w:t xml:space="preserve"> </w:t>
      </w:r>
      <w:r>
        <w:t xml:space="preserve">studying the definitional lexicon: its legislation was substantially rewritten</w:t>
      </w:r>
      <w:r>
        <w:t xml:space="preserve"> </w:t>
      </w:r>
      <w:r>
        <w:t xml:space="preserve">during the 2020s, so instruments enacted decades apart are being maintained</w:t>
      </w:r>
      <w:r>
        <w:t xml:space="preserve"> </w:t>
      </w:r>
      <w:r>
        <w:t xml:space="preserve">side by side.</w:t>
      </w:r>
    </w:p>
    <w:p>
      <w:pPr>
        <w:pStyle w:val="BodyText"/>
      </w:pPr>
      <w:r>
        <w:t xml:space="preserve">Four findings follow.</w:t>
      </w:r>
    </w:p>
    <w:p>
      <w:pPr>
        <w:pStyle w:val="BodyText"/>
      </w:pPr>
      <w:r>
        <w:t xml:space="preserve">First, the aggregate is small and the distribution is not. Some 973 articles,</w:t>
      </w:r>
      <w:r>
        <w:t xml:space="preserve"> </w:t>
      </w:r>
      <w:r>
        <w:t xml:space="preserve">7.4 per cent of the corpus, are no longer in their original form. But 58.8 per</w:t>
      </w:r>
      <w:r>
        <w:t xml:space="preserve"> </w:t>
      </w:r>
      <w:r>
        <w:t xml:space="preserve">cent of instruments record no change at all, and the Gini coefficient of</w:t>
      </w:r>
      <w:r>
        <w:t xml:space="preserve"> </w:t>
      </w:r>
      <w:r>
        <w:t xml:space="preserve">changed articles across instruments is 0.82. Saudi legislation does not age</w:t>
      </w:r>
      <w:r>
        <w:t xml:space="preserve"> </w:t>
      </w:r>
      <w:r>
        <w:t xml:space="preserve">evenly; a small number of instruments absorb almost all of the movement.</w:t>
      </w:r>
    </w:p>
    <w:p>
      <w:pPr>
        <w:pStyle w:val="BodyText"/>
      </w:pPr>
      <w:r>
        <w:t xml:space="preserve">Second, instruments change in characteristically different ways. The Sharia</w:t>
      </w:r>
      <w:r>
        <w:t xml:space="preserve"> </w:t>
      </w:r>
      <w:r>
        <w:t xml:space="preserve">Procedure Law is dominated by repeal, the Implementing Regulation of the</w:t>
      </w:r>
      <w:r>
        <w:t xml:space="preserve"> </w:t>
      </w:r>
      <w:r>
        <w:t xml:space="preserve">Commercial Agencies Law almost entirely by addition, the VAT Regulation by</w:t>
      </w:r>
      <w:r>
        <w:t xml:space="preserve"> </w:t>
      </w:r>
      <w:r>
        <w:t xml:space="preserve">amendment in place. A single figure for</w:t>
      </w:r>
      <w:r>
        <w:t xml:space="preserve"> </w:t>
      </w:r>
      <w:r>
        <w:t xml:space="preserve">‘</w:t>
      </w:r>
      <w:r>
        <w:t xml:space="preserve">amendments</w:t>
      </w:r>
      <w:r>
        <w:t xml:space="preserve">’</w:t>
      </w:r>
      <w:r>
        <w:t xml:space="preserve"> </w:t>
      </w:r>
      <w:r>
        <w:t xml:space="preserve">would put these three</w:t>
      </w:r>
      <w:r>
        <w:t xml:space="preserve"> </w:t>
      </w:r>
      <w:r>
        <w:t xml:space="preserve">in the same bucket, and they are not the same phenomenon: one is a</w:t>
      </w:r>
      <w:r>
        <w:t xml:space="preserve"> </w:t>
      </w:r>
      <w:r>
        <w:t xml:space="preserve">jurisdiction being transferred out, one is a regime being extended, one is a</w:t>
      </w:r>
      <w:r>
        <w:t xml:space="preserve"> </w:t>
      </w:r>
      <w:r>
        <w:t xml:space="preserve">regime being tuned.</w:t>
      </w:r>
    </w:p>
    <w:p>
      <w:pPr>
        <w:pStyle w:val="BodyText"/>
      </w:pPr>
      <w:r>
        <w:t xml:space="preserve">Third, change concentrates where the system leans hardest. Instruments that</w:t>
      </w:r>
      <w:r>
        <w:t xml:space="preserve"> </w:t>
      </w:r>
      <w:r>
        <w:t xml:space="preserve">other instruments cite have a mean churn rate of 10.7 per cent against 6.1</w:t>
      </w:r>
      <w:r>
        <w:t xml:space="preserve"> </w:t>
      </w:r>
      <w:r>
        <w:t xml:space="preserve">per cent for instruments nobody cites, rising to 13.4 per cent for the fifteen</w:t>
      </w:r>
      <w:r>
        <w:t xml:space="preserve"> </w:t>
      </w:r>
      <w:r>
        <w:t xml:space="preserve">most cited. Section 7 sets out why this is suggestive rather</w:t>
      </w:r>
      <w:r>
        <w:t xml:space="preserve"> </w:t>
      </w:r>
      <w:r>
        <w:t xml:space="preserve">than established: age is not controlled for, and it cannot be, because the</w:t>
      </w:r>
      <w:r>
        <w:t xml:space="preserve"> </w:t>
      </w:r>
      <w:r>
        <w:t xml:space="preserve">corpus dates only two of its instruments.</w:t>
      </w:r>
    </w:p>
    <w:p>
      <w:pPr>
        <w:pStyle w:val="BodyText"/>
      </w:pPr>
      <w:r>
        <w:t xml:space="preserve">Fourth — and this is the finding with the clearest practical edge —</w:t>
      </w:r>
      <w:r>
        <w:t xml:space="preserve"> </w:t>
      </w:r>
      <w:r>
        <w:t xml:space="preserve">cross-instrument references are disproportionately exposed to change.</w:t>
      </w:r>
      <w:r>
        <w:t xml:space="preserve"> </w:t>
      </w:r>
      <w:r>
        <w:t xml:space="preserve">Seventeen per cent of the references from one instrument to a specific article</w:t>
      </w:r>
      <w:r>
        <w:t xml:space="preserve"> </w:t>
      </w:r>
      <w:r>
        <w:t xml:space="preserve">of another point at an article that has since been amended or repealed,</w:t>
      </w:r>
      <w:r>
        <w:t xml:space="preserve"> </w:t>
      </w:r>
      <w:r>
        <w:t xml:space="preserve">against a corpus base rate of 7.4 per cent. References an instrument makes to</w:t>
      </w:r>
      <w:r>
        <w:t xml:space="preserve"> </w:t>
      </w:r>
      <w:r>
        <w:t xml:space="preserve">its own articles show no such excess. The asymmetry has an obvious mechanism:</w:t>
      </w:r>
      <w:r>
        <w:t xml:space="preserve"> </w:t>
      </w:r>
      <w:r>
        <w:t xml:space="preserve">a drafter amending an instrument can see and fix the references inside it,</w:t>
      </w:r>
      <w:r>
        <w:t xml:space="preserve"> </w:t>
      </w:r>
      <w:r>
        <w:t xml:space="preserve">and has no way to find the references to it.</w:t>
      </w:r>
    </w:p>
    <w:p>
      <w:pPr>
        <w:pStyle w:val="BodyText"/>
      </w:pPr>
      <w:r>
        <w:t xml:space="preserve">Section 2 describes how amendment works in Saudi practice and why the article</w:t>
      </w:r>
      <w:r>
        <w:t xml:space="preserve"> </w:t>
      </w:r>
      <w:r>
        <w:t xml:space="preserve">is the right unit. Section 3 sets out the data and the two measurement traps</w:t>
      </w:r>
      <w:r>
        <w:t xml:space="preserve"> </w:t>
      </w:r>
      <w:r>
        <w:t xml:space="preserve">in it. Sections 4 to 7 report what was found, and sections 8 and 9 draw out</w:t>
      </w:r>
      <w:r>
        <w:t xml:space="preserve"> </w:t>
      </w:r>
      <w:r>
        <w:t xml:space="preserve">what follows and what the method cannot see.</w:t>
      </w:r>
    </w:p>
    <w:bookmarkEnd w:id="22"/>
    <w:bookmarkStart w:id="29" w:name="amendment-in-saudi-legislative-practice"/>
    <w:p>
      <w:pPr>
        <w:pStyle w:val="Heading1"/>
      </w:pPr>
      <w:r>
        <w:t xml:space="preserve">Amendment in Saudi legislative practice</w:t>
      </w:r>
    </w:p>
    <w:bookmarkStart w:id="23" w:name="how-an-instrument-changes"/>
    <w:p>
      <w:pPr>
        <w:pStyle w:val="Heading2"/>
      </w:pPr>
      <w:r>
        <w:t xml:space="preserve">How an instrument changes</w:t>
      </w:r>
    </w:p>
    <w:p>
      <w:pPr>
        <w:pStyle w:val="FirstParagraph"/>
      </w:pPr>
      <w:r>
        <w:t xml:space="preserve">A Saudi law is enacted by royal decree approving a Council of Ministers</w:t>
      </w:r>
      <w:r>
        <w:t xml:space="preserve"> </w:t>
      </w:r>
      <w:r>
        <w:t xml:space="preserve">resolution; an implementing regulation is issued by the competent minister or</w:t>
      </w:r>
      <w:r>
        <w:t xml:space="preserve"> </w:t>
      </w:r>
      <w:r>
        <w:t xml:space="preserve">authority under a power the law confers. Change arrives the same way. A later</w:t>
      </w:r>
      <w:r>
        <w:t xml:space="preserve"> </w:t>
      </w:r>
      <w:r>
        <w:t xml:space="preserve">decree or resolution amends named articles of the earlier instrument,</w:t>
      </w:r>
      <w:r>
        <w:t xml:space="preserve"> </w:t>
      </w:r>
      <w:r>
        <w:t xml:space="preserve">substituting wording, adding an article, or repealing one. The amending</w:t>
      </w:r>
      <w:r>
        <w:t xml:space="preserve"> </w:t>
      </w:r>
      <w:r>
        <w:t xml:space="preserve">instrument is generally not itself a standing part of the legal furniture: it</w:t>
      </w:r>
      <w:r>
        <w:t xml:space="preserve"> </w:t>
      </w:r>
      <w:r>
        <w:t xml:space="preserve">does its work and the consolidated instrument absorbs it.</w:t>
      </w:r>
    </w:p>
    <w:p>
      <w:pPr>
        <w:pStyle w:val="BodyText"/>
      </w:pPr>
      <w:r>
        <w:t xml:space="preserve">Three consequences follow for measurement.</w:t>
      </w:r>
    </w:p>
    <w:p>
      <w:pPr>
        <w:pStyle w:val="BodyText"/>
      </w:pPr>
      <w:r>
        <w:t xml:space="preserve">The unit of change is the</w:t>
      </w:r>
      <w:r>
        <w:t xml:space="preserve"> </w:t>
      </w:r>
      <w:r>
        <w:rPr>
          <w:bCs/>
          <w:b/>
        </w:rPr>
        <w:t xml:space="preserve">article</w:t>
      </w:r>
      <w:r>
        <w:t xml:space="preserve">, not the instrument. An amending</w:t>
      </w:r>
      <w:r>
        <w:t xml:space="preserve"> </w:t>
      </w:r>
      <w:r>
        <w:t xml:space="preserve">decree names articles, and the resulting record is article-level. Counting</w:t>
      </w:r>
      <w:r>
        <w:t xml:space="preserve"> </w:t>
      </w:r>
      <w:r>
        <w:t xml:space="preserve">amended</w:t>
      </w:r>
      <w:r>
        <w:t xml:space="preserve"> </w:t>
      </w:r>
      <w:r>
        <w:rPr>
          <w:iCs/>
          <w:i/>
        </w:rPr>
        <w:t xml:space="preserve">instruments</w:t>
      </w:r>
      <w:r>
        <w:t xml:space="preserve"> </w:t>
      </w:r>
      <w:r>
        <w:t xml:space="preserve">would compress an instrument in which one article</w:t>
      </w:r>
      <w:r>
        <w:t xml:space="preserve"> </w:t>
      </w:r>
      <w:r>
        <w:t xml:space="preserve">was retouched and an instrument in which forty were rewritten into the same</w:t>
      </w:r>
      <w:r>
        <w:t xml:space="preserve"> </w:t>
      </w:r>
      <w:r>
        <w:t xml:space="preserve">observation.</w:t>
      </w:r>
    </w:p>
    <w:p>
      <w:pPr>
        <w:pStyle w:val="BodyText"/>
      </w:pPr>
      <w:r>
        <w:t xml:space="preserve">Repeal is often</w:t>
      </w:r>
      <w:r>
        <w:t xml:space="preserve"> </w:t>
      </w:r>
      <w:r>
        <w:rPr>
          <w:bCs/>
          <w:b/>
        </w:rPr>
        <w:t xml:space="preserve">partial and in place</w:t>
      </w:r>
      <w:r>
        <w:t xml:space="preserve">. When an article is repealed</w:t>
      </w:r>
      <w:r>
        <w:t xml:space="preserve"> </w:t>
      </w:r>
      <w:r>
        <w:t xml:space="preserve">without the instrument being replaced, the article number is retained and the</w:t>
      </w:r>
      <w:r>
        <w:t xml:space="preserve"> </w:t>
      </w:r>
      <w:r>
        <w:t xml:space="preserve">provision emptied, so that the numbering of everything after it survives —</w:t>
      </w:r>
      <w:r>
        <w:t xml:space="preserve"> </w:t>
      </w:r>
      <w:r>
        <w:t xml:space="preserve">which is why the Sharia Procedure Law can lose seventy-five articles without</w:t>
      </w:r>
      <w:r>
        <w:t xml:space="preserve"> </w:t>
      </w:r>
      <w:r>
        <w:t xml:space="preserve">being renumbered. The instrument’s apparent size does not fall.</w:t>
      </w:r>
    </w:p>
    <w:p>
      <w:pPr>
        <w:pStyle w:val="BodyText"/>
      </w:pPr>
      <w:r>
        <w:t xml:space="preserve">And the record is</w:t>
      </w:r>
      <w:r>
        <w:t xml:space="preserve"> </w:t>
      </w:r>
      <w:r>
        <w:rPr>
          <w:bCs/>
          <w:b/>
        </w:rPr>
        <w:t xml:space="preserve">consolidated by default</w:t>
      </w:r>
      <w:r>
        <w:t xml:space="preserve">. The official portal shows</w:t>
      </w:r>
      <w:r>
        <w:t xml:space="preserve"> </w:t>
      </w:r>
      <w:r>
        <w:t xml:space="preserve">the current text; the history of an article, where it is shown at all, sits</w:t>
      </w:r>
      <w:r>
        <w:t xml:space="preserve"> </w:t>
      </w:r>
      <w:r>
        <w:t xml:space="preserve">behind it. A reader who does not look for the history will not encounter it,</w:t>
      </w:r>
      <w:r>
        <w:t xml:space="preserve"> </w:t>
      </w:r>
      <w:r>
        <w:t xml:space="preserve">which is precisely why the aggregate question has not been answerable.</w:t>
      </w:r>
    </w:p>
    <w:bookmarkEnd w:id="23"/>
    <w:bookmarkStart w:id="28" w:name="why-this-has-not-been-measured"/>
    <w:p>
      <w:pPr>
        <w:pStyle w:val="Heading2"/>
      </w:pPr>
      <w:r>
        <w:t xml:space="preserve">Why this has not been measured</w:t>
      </w:r>
    </w:p>
    <w:p>
      <w:pPr>
        <w:pStyle w:val="FirstParagraph"/>
      </w:pPr>
      <w:r>
        <w:t xml:space="preserve">The empirical study of legal systems has developed measures of size, of</w:t>
      </w:r>
      <w:r>
        <w:t xml:space="preserve"> </w:t>
      </w:r>
      <w:r>
        <w:t xml:space="preserve">complexity and of citation structure.</w:t>
      </w:r>
      <w:r>
        <w:rPr>
          <w:rStyle w:val="FootnoteReference"/>
        </w:rPr>
        <w:footnoteReference w:id="24"/>
      </w:r>
      <w:r>
        <w:t xml:space="preserve"> </w:t>
      </w:r>
      <w:r>
        <w:t xml:space="preserve">Work that follows a legal system over time has</w:t>
      </w:r>
      <w:r>
        <w:t xml:space="preserve"> </w:t>
      </w:r>
      <w:r>
        <w:t xml:space="preserve">generally done so at the level of the instrument or the code section count,</w:t>
      </w:r>
      <w:r>
        <w:t xml:space="preserve"> </w:t>
      </w:r>
      <w:r>
        <w:t xml:space="preserve">because that is what the available data supports. Machine-readable legal</w:t>
      </w:r>
      <w:r>
        <w:t xml:space="preserve"> </w:t>
      </w:r>
      <w:r>
        <w:t xml:space="preserve">corpora have grown considerably, but they are assembled to train language</w:t>
      </w:r>
      <w:r>
        <w:t xml:space="preserve"> </w:t>
      </w:r>
      <w:r>
        <w:t xml:space="preserve">models and hold consolidated running text rather than the status of its</w:t>
      </w:r>
      <w:r>
        <w:t xml:space="preserve"> </w:t>
      </w:r>
      <w:r>
        <w:t xml:space="preserve">parts.</w:t>
      </w:r>
      <w:r>
        <w:rPr>
          <w:rStyle w:val="FootnoteReference"/>
        </w:rPr>
        <w:footnoteReference w:id="25"/>
      </w:r>
      <w:r>
        <w:t xml:space="preserve"> </w:t>
      </w:r>
      <w:r>
        <w:t xml:space="preserve">Structural standards can represent amendment faithfully, but</w:t>
      </w:r>
      <w:r>
        <w:t xml:space="preserve"> </w:t>
      </w:r>
      <w:r>
        <w:t xml:space="preserve">representing it is not the same as having the data.</w:t>
      </w:r>
      <w:r>
        <w:rPr>
          <w:rStyle w:val="FootnoteReference"/>
        </w:rPr>
        <w:footnoteReference w:id="26"/>
      </w:r>
    </w:p>
    <w:p>
      <w:pPr>
        <w:pStyle w:val="BodyText"/>
      </w:pPr>
      <w:r>
        <w:t xml:space="preserve">The drafting literature, for its part, treats amendment as a craft question</w:t>
      </w:r>
      <w:r>
        <w:t xml:space="preserve"> </w:t>
      </w:r>
      <w:r>
        <w:t xml:space="preserve">— textual amendment against non-textual, the case for consolidation, how to</w:t>
      </w:r>
      <w:r>
        <w:t xml:space="preserve"> </w:t>
      </w:r>
      <w:r>
        <w:t xml:space="preserve">avoid leaving the statute book unreadable.</w:t>
      </w:r>
      <w:r>
        <w:rPr>
          <w:rStyle w:val="FootnoteReference"/>
        </w:rPr>
        <w:footnoteReference w:id="27"/>
      </w:r>
      <w:r>
        <w:t xml:space="preserve"> </w:t>
      </w:r>
      <w:r>
        <w:t xml:space="preserve">Its recommendations are sound and its evidence is</w:t>
      </w:r>
      <w:r>
        <w:t xml:space="preserve"> </w:t>
      </w:r>
      <w:r>
        <w:t xml:space="preserve">illustrative. The gap this article addresses is between the craft advice and</w:t>
      </w:r>
      <w:r>
        <w:t xml:space="preserve"> </w:t>
      </w:r>
      <w:r>
        <w:t xml:space="preserve">any measurement of what the craft actually produces at system scale.</w:t>
      </w:r>
    </w:p>
    <w:bookmarkEnd w:id="28"/>
    <w:bookmarkEnd w:id="29"/>
    <w:bookmarkStart w:id="33" w:name="sec:method"/>
    <w:p>
      <w:pPr>
        <w:pStyle w:val="Heading1"/>
      </w:pPr>
      <w:r>
        <w:t xml:space="preserve">Data and method</w:t>
      </w:r>
    </w:p>
    <w:bookmarkStart w:id="30" w:name="the-status-layer"/>
    <w:p>
      <w:pPr>
        <w:pStyle w:val="Heading2"/>
      </w:pPr>
      <w:r>
        <w:t xml:space="preserve">The status layer</w:t>
      </w:r>
    </w:p>
    <w:p>
      <w:pPr>
        <w:pStyle w:val="FirstParagraph"/>
      </w:pPr>
      <w:r>
        <w:t xml:space="preserve">The corpus records, for each article it verified against an official source, a</w:t>
      </w:r>
      <w:r>
        <w:t xml:space="preserve"> </w:t>
      </w:r>
      <w:r>
        <w:t xml:space="preserve">legal status in the terms the source uses:</w:t>
      </w:r>
      <w:r>
        <w:t xml:space="preserve"> </w:t>
      </w:r>
      <w:r>
        <w:rPr>
          <w:iCs/>
          <w:i/>
        </w:rPr>
        <w:t xml:space="preserve">asliyyah</w:t>
      </w:r>
      <w:r>
        <w:t xml:space="preserve"> </w:t>
      </w:r>
      <w:r>
        <w:t xml:space="preserve">(original),</w:t>
      </w:r>
      <w:r>
        <w:t xml:space="preserve"> </w:t>
      </w:r>
      <w:r>
        <w:rPr>
          <w:iCs/>
          <w:i/>
        </w:rPr>
        <w:t xml:space="preserve">mu’addalah</w:t>
      </w:r>
      <w:r>
        <w:t xml:space="preserve"> </w:t>
      </w:r>
      <w:r>
        <w:t xml:space="preserve">(amended),</w:t>
      </w:r>
      <w:r>
        <w:t xml:space="preserve"> </w:t>
      </w:r>
      <w:r>
        <w:rPr>
          <w:iCs/>
          <w:i/>
        </w:rPr>
        <w:t xml:space="preserve">mulghah</w:t>
      </w:r>
      <w:r>
        <w:t xml:space="preserve"> </w:t>
      </w:r>
      <w:r>
        <w:t xml:space="preserve">(repealed),</w:t>
      </w:r>
      <w:r>
        <w:t xml:space="preserve"> </w:t>
      </w:r>
      <w:r>
        <w:rPr>
          <w:iCs/>
          <w:i/>
        </w:rPr>
        <w:t xml:space="preserve">mudafah</w:t>
      </w:r>
      <w:r>
        <w:t xml:space="preserve"> </w:t>
      </w:r>
      <w:r>
        <w:t xml:space="preserve">(added). The layer covers 13,089 articles across 272 of the corpus’s 291</w:t>
      </w:r>
      <w:r>
        <w:t xml:space="preserve"> </w:t>
      </w:r>
      <w:r>
        <w:t xml:space="preserve">tracks. For 972 articles it also records an amendment history.</w:t>
      </w:r>
    </w:p>
    <w:p>
      <w:pPr>
        <w:pStyle w:val="BodyText"/>
      </w:pPr>
      <w:r>
        <w:t xml:space="preserve">Every measure below rests on that status field, so its provenance matters: it</w:t>
      </w:r>
      <w:r>
        <w:t xml:space="preserve"> </w:t>
      </w:r>
      <w:r>
        <w:t xml:space="preserve">is transcribed from the official record for the article, not inferred from the</w:t>
      </w:r>
      <w:r>
        <w:t xml:space="preserve"> </w:t>
      </w:r>
      <w:r>
        <w:t xml:space="preserve">text. Where the corpus could not establish a status, the article is counted in</w:t>
      </w:r>
      <w:r>
        <w:t xml:space="preserve"> </w:t>
      </w:r>
      <w:r>
        <w:t xml:space="preserve">neither the numerator nor the denominator.</w:t>
      </w:r>
    </w:p>
    <w:bookmarkEnd w:id="30"/>
    <w:bookmarkStart w:id="31" w:name="Xedbeb699f3b8cbb7536de88338e194eabe9bc2a"/>
    <w:p>
      <w:pPr>
        <w:pStyle w:val="Heading2"/>
      </w:pPr>
      <w:r>
        <w:t xml:space="preserve">Two shapes of amendment history, and why conflating them fails</w:t>
      </w:r>
    </w:p>
    <w:p>
      <w:pPr>
        <w:pStyle w:val="FirstParagraph"/>
      </w:pPr>
      <w:r>
        <w:t xml:space="preserve">The amendment history comes in two shapes, and the difference is not</w:t>
      </w:r>
      <w:r>
        <w:t xml:space="preserve"> </w:t>
      </w:r>
      <w:r>
        <w:t xml:space="preserve">cosmetic.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Cs/>
          <w:b/>
        </w:rPr>
        <w:t xml:space="preserve">event-log</w:t>
      </w:r>
      <w:r>
        <w:t xml:space="preserve"> </w:t>
      </w:r>
      <w:r>
        <w:t xml:space="preserve">shape, each entry names an amending decree and</w:t>
      </w:r>
      <w:r>
        <w:t xml:space="preserve"> </w:t>
      </w:r>
      <w:r>
        <w:t xml:space="preserve">carries no text. The number of entries is then the number of amendment events</w:t>
      </w:r>
      <w:r>
        <w:t xml:space="preserve"> </w:t>
      </w:r>
      <w:r>
        <w:t xml:space="preserve">the article has been through: 617 articles are recorded this way, of which 109</w:t>
      </w:r>
      <w:r>
        <w:t xml:space="preserve"> </w:t>
      </w:r>
      <w:r>
        <w:t xml:space="preserve">have been amended more than once and one has been amended seven times.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Cs/>
          <w:b/>
        </w:rPr>
        <w:t xml:space="preserve">prior-version</w:t>
      </w:r>
      <w:r>
        <w:t xml:space="preserve"> </w:t>
      </w:r>
      <w:r>
        <w:t xml:space="preserve">shape, an entry carries the superseded wording,</w:t>
      </w:r>
      <w:r>
        <w:t xml:space="preserve"> </w:t>
      </w:r>
      <w:r>
        <w:t xml:space="preserve">so the current text can be compared against what it replaced.</w:t>
      </w:r>
    </w:p>
    <w:p>
      <w:pPr>
        <w:pStyle w:val="BodyText"/>
      </w:pPr>
      <w:r>
        <w:t xml:space="preserve">The trap is that not every entry carrying text is a prior version. Measured</w:t>
      </w:r>
      <w:r>
        <w:t xml:space="preserve"> </w:t>
      </w:r>
      <w:r>
        <w:t xml:space="preserve">against the article’s current wording, entries labelled</w:t>
      </w:r>
      <w:r>
        <w:t xml:space="preserve"> </w:t>
      </w:r>
      <w:r>
        <w:t xml:space="preserve">‘</w:t>
      </w:r>
      <w:r>
        <w:t xml:space="preserve">amended</w:t>
      </w:r>
      <w:r>
        <w:t xml:space="preserve">’</w:t>
      </w:r>
      <w:r>
        <w:t xml:space="preserve"> </w:t>
      </w:r>
      <w:r>
        <w:t xml:space="preserve">or carrying</w:t>
      </w:r>
      <w:r>
        <w:t xml:space="preserve"> </w:t>
      </w:r>
      <w:r>
        <w:t xml:space="preserve">no label at all have a median Jaccard similarity of</w:t>
      </w:r>
      <w:r>
        <w:t xml:space="preserve"> </w:t>
      </w:r>
      <w:r>
        <w:rPr>
          <w:iCs/>
          <w:i/>
        </w:rPr>
        <w:t xml:space="preserve">1.00</w:t>
      </w:r>
      <w:r>
        <w:t xml:space="preserve"> </w:t>
      </w:r>
      <w:r>
        <w:t xml:space="preserve">— they</w:t>
      </w:r>
      <w:r>
        <w:t xml:space="preserve"> </w:t>
      </w:r>
      <w:r>
        <w:t xml:space="preserve">restate the text as it now stands. Only entries labelled</w:t>
      </w:r>
      <w:r>
        <w:t xml:space="preserve"> </w:t>
      </w:r>
      <w:r>
        <w:t xml:space="preserve">‘</w:t>
      </w:r>
      <w:r>
        <w:t xml:space="preserve">original</w:t>
      </w:r>
      <w:r>
        <w:t xml:space="preserve">’</w:t>
      </w:r>
      <w:r>
        <w:t xml:space="preserve"> </w:t>
      </w:r>
      <w:r>
        <w:t xml:space="preserve">are</w:t>
      </w:r>
      <w:r>
        <w:t xml:space="preserve"> </w:t>
      </w:r>
      <w:r>
        <w:t xml:space="preserve">genuinely superseded wording, with a median similarity of 0.82. Treating every</w:t>
      </w:r>
      <w:r>
        <w:t xml:space="preserve"> </w:t>
      </w:r>
      <w:r>
        <w:t xml:space="preserve">text-bearing entry as a prior version would have produced a magnitude analysis</w:t>
      </w:r>
      <w:r>
        <w:t xml:space="preserve"> </w:t>
      </w:r>
      <w:r>
        <w:t xml:space="preserve">over 226 articles reporting that amendments barely change anything, which is</w:t>
      </w:r>
      <w:r>
        <w:t xml:space="preserve"> </w:t>
      </w:r>
      <w:r>
        <w:t xml:space="preserve">an artefact of the schema rather than a fact about Saudi law. The analysis</w:t>
      </w:r>
      <w:r>
        <w:t xml:space="preserve"> </w:t>
      </w:r>
      <w:r>
        <w:t xml:space="preserve">script publishes the similarity evidence for the exclusion rather than</w:t>
      </w:r>
      <w:r>
        <w:t xml:space="preserve"> </w:t>
      </w:r>
      <w:r>
        <w:t xml:space="preserve">asserting it, and the magnitude measure in section 6 is</w:t>
      </w:r>
      <w:r>
        <w:t xml:space="preserve"> </w:t>
      </w:r>
      <w:r>
        <w:t xml:space="preserve">confined to the 87 articles that carry a genuine prior text.</w:t>
      </w:r>
    </w:p>
    <w:bookmarkEnd w:id="31"/>
    <w:bookmarkStart w:id="32" w:name="measures"/>
    <w:p>
      <w:pPr>
        <w:pStyle w:val="Heading2"/>
      </w:pPr>
      <w:r>
        <w:t xml:space="preserve">Measures</w:t>
      </w:r>
    </w:p>
    <w:p>
      <w:pPr>
        <w:pStyle w:val="FirstParagraph"/>
      </w:pPr>
      <w:r>
        <w:rPr>
          <w:iCs/>
          <w:i/>
        </w:rPr>
        <w:t xml:space="preserve">Churn</w:t>
      </w:r>
      <w:r>
        <w:t xml:space="preserve"> </w:t>
      </w:r>
      <w:r>
        <w:t xml:space="preserve">is the share of an instrument’s articles that are not original</w:t>
      </w:r>
      <w:r>
        <w:t xml:space="preserve"> </w:t>
      </w:r>
      <w:r>
        <w:t xml:space="preserve">— amended, repealed or added. Concentration across instruments is reported</w:t>
      </w:r>
      <w:r>
        <w:t xml:space="preserve"> </w:t>
      </w:r>
      <w:r>
        <w:t xml:space="preserve">as the share of instruments with no recorded change, the share of changed</w:t>
      </w:r>
      <w:r>
        <w:t xml:space="preserve"> </w:t>
      </w:r>
      <w:r>
        <w:t xml:space="preserve">articles held by the ten most changed instruments, and the Gini coefficient of</w:t>
      </w:r>
      <w:r>
        <w:t xml:space="preserve"> </w:t>
      </w:r>
      <w:r>
        <w:t xml:space="preserve">changed articles.</w:t>
      </w:r>
    </w:p>
    <w:p>
      <w:pPr>
        <w:pStyle w:val="BodyText"/>
      </w:pPr>
      <w:r>
        <w:rPr>
          <w:iCs/>
          <w:i/>
        </w:rPr>
        <w:t xml:space="preserve">Magnitude</w:t>
      </w:r>
      <w:r>
        <w:t xml:space="preserve"> </w:t>
      </w:r>
      <w:r>
        <w:t xml:space="preserve">is the Jaccard similarity between an amended article’s</w:t>
      </w:r>
      <w:r>
        <w:t xml:space="preserve"> </w:t>
      </w:r>
      <w:r>
        <w:t xml:space="preserve">current wording and its superseded wording, over normalised Arabic content</w:t>
      </w:r>
      <w:r>
        <w:t xml:space="preserve"> </w:t>
      </w:r>
      <w:r>
        <w:t xml:space="preserve">tokens, using the same normalisation as the companion study of the</w:t>
      </w:r>
      <w:r>
        <w:t xml:space="preserve"> </w:t>
      </w:r>
      <w:r>
        <w:t xml:space="preserve">definitional lexicon — diacritics and</w:t>
      </w:r>
      <w:r>
        <w:t xml:space="preserve"> </w:t>
      </w:r>
      <w:r>
        <w:rPr>
          <w:iCs/>
          <w:i/>
        </w:rPr>
        <w:t xml:space="preserve">tatweel</w:t>
      </w:r>
      <w:r>
        <w:t xml:space="preserve"> </w:t>
      </w:r>
      <w:r>
        <w:t xml:space="preserve">stripped, the</w:t>
      </w:r>
      <w:r>
        <w:t xml:space="preserve"> </w:t>
      </w:r>
      <w:r>
        <w:rPr>
          <w:iCs/>
          <w:i/>
        </w:rPr>
        <w:t xml:space="preserve">hamza</w:t>
      </w:r>
      <w:r>
        <w:t xml:space="preserve"> </w:t>
      </w:r>
      <w:r>
        <w:t xml:space="preserve">forms of</w:t>
      </w:r>
      <w:r>
        <w:t xml:space="preserve"> </w:t>
      </w:r>
      <w:r>
        <w:rPr>
          <w:iCs/>
          <w:i/>
        </w:rPr>
        <w:t xml:space="preserve">alif</w:t>
      </w:r>
      <w:r>
        <w:t xml:space="preserve"> </w:t>
      </w:r>
      <w:r>
        <w:t xml:space="preserve">folded to bare</w:t>
      </w:r>
      <w:r>
        <w:t xml:space="preserve"> </w:t>
      </w:r>
      <w:r>
        <w:rPr>
          <w:iCs/>
          <w:i/>
        </w:rPr>
        <w:t xml:space="preserve">alif</w:t>
      </w:r>
      <w:r>
        <w:t xml:space="preserve">,</w:t>
      </w:r>
      <w:r>
        <w:t xml:space="preserve"> </w:t>
      </w:r>
      <w:r>
        <w:rPr>
          <w:iCs/>
          <w:i/>
        </w:rPr>
        <w:t xml:space="preserve">teh</w:t>
      </w:r>
      <w:r>
        <w:rPr>
          <w:iCs/>
          <w:i/>
        </w:rPr>
        <w:t xml:space="preserve"> </w:t>
      </w:r>
      <w:r>
        <w:rPr>
          <w:iCs/>
          <w:i/>
        </w:rPr>
        <w:t xml:space="preserve">marbuta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heh</w:t>
      </w:r>
      <w:r>
        <w:t xml:space="preserve">,</w:t>
      </w:r>
      <w:r>
        <w:t xml:space="preserve"> </w:t>
      </w:r>
      <w:r>
        <w:rPr>
          <w:iCs/>
          <w:i/>
        </w:rPr>
        <w:t xml:space="preserve">alif maqsura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yeh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Exposure</w:t>
      </w:r>
      <w:r>
        <w:t xml:space="preserve"> </w:t>
      </w:r>
      <w:r>
        <w:t xml:space="preserve">is the share of cross-references that resolve to a specific</w:t>
      </w:r>
      <w:r>
        <w:t xml:space="preserve"> </w:t>
      </w:r>
      <w:r>
        <w:t xml:space="preserve">article whose status is known and which is amended or repealed. Every such</w:t>
      </w:r>
      <w:r>
        <w:t xml:space="preserve"> </w:t>
      </w:r>
      <w:r>
        <w:t xml:space="preserve">share is reported against the corpus base rate of changed articles, so that a</w:t>
      </w:r>
      <w:r>
        <w:t xml:space="preserve"> </w:t>
      </w:r>
      <w:r>
        <w:t xml:space="preserve">number close to the base rate cannot be mistaken for a finding.</w:t>
      </w:r>
    </w:p>
    <w:bookmarkEnd w:id="32"/>
    <w:bookmarkEnd w:id="33"/>
    <w:bookmarkStart w:id="35" w:name="the-shape-of-change"/>
    <w:p>
      <w:pPr>
        <w:pStyle w:val="Heading1"/>
      </w:pPr>
      <w:r>
        <w:t xml:space="preserve">The shape of change</w:t>
      </w:r>
    </w:p>
    <w:bookmarkStart w:id="34" w:name="tab:inventory"/>
    <w:p>
      <w:pPr>
        <w:pStyle w:val="TableCaption"/>
      </w:pPr>
      <w:r>
        <w:t xml:space="preserve">Legislative churn in the corpus.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Legislative churn in the corpus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Articles with a recorded legal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Instruments covered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Articles not in their original 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 (7.4%)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Instruments recording no change at 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 (58.8%)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of changed articles in the ten most changed instruments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Gini of changed articles across instruments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amending instruments identified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Articles amended more than once (event-log subset)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</w:tr>
    </w:tbl>
    <w:bookmarkEnd w:id="34"/>
    <w:p>
      <w:pPr>
        <w:pStyle w:val="BodyText"/>
      </w:pPr>
      <w:r>
        <w:rPr>
          <w:iCs/>
          <w:i/>
        </w:rPr>
        <w:t xml:space="preserve">[Figure 1 near here — supplied as a separate file, fig1_churn.eps]</w:t>
      </w:r>
    </w:p>
    <w:p>
      <w:pPr>
        <w:pStyle w:val="BodyText"/>
      </w:pPr>
      <w:r>
        <w:rPr>
          <w:bCs/>
          <w:b/>
        </w:rPr>
        <w:t xml:space="preserve">Figure 1.</w:t>
      </w:r>
      <w:r>
        <w:t xml:space="preserve"> </w:t>
      </w:r>
      <w:r>
        <w:t xml:space="preserve">The twelve most changed instruments, split by how they changed. The</w:t>
      </w:r>
      <w:r>
        <w:t xml:space="preserve"> </w:t>
      </w:r>
      <w:r>
        <w:t xml:space="preserve">split is the point: the same total is reached by repeal in one instrument, by</w:t>
      </w:r>
      <w:r>
        <w:t xml:space="preserve"> </w:t>
      </w:r>
      <w:r>
        <w:t xml:space="preserve">addition in another, and by amendment in place in a third.</w:t>
      </w:r>
    </w:p>
    <w:p>
      <w:pPr>
        <w:pStyle w:val="BodyText"/>
      </w:pPr>
      <w:r>
        <w:t xml:space="preserve">Table 1 gives the aggregate. Three features deserve comment.</w:t>
      </w:r>
    </w:p>
    <w:p>
      <w:pPr>
        <w:pStyle w:val="BodyText"/>
      </w:pPr>
      <w:r>
        <w:rPr>
          <w:bCs/>
          <w:b/>
        </w:rPr>
        <w:t xml:space="preserve">The total is modest.</w:t>
      </w:r>
      <w:r>
        <w:t xml:space="preserve"> </w:t>
      </w:r>
      <w:r>
        <w:t xml:space="preserve">Of 13,089 articles, 12,109 stand as enacted.</w:t>
      </w:r>
      <w:r>
        <w:t xml:space="preserve"> </w:t>
      </w:r>
      <w:r>
        <w:t xml:space="preserve">That 7.4 per cent of a legal system’s text has moved is neither alarming nor</w:t>
      </w:r>
      <w:r>
        <w:t xml:space="preserve"> </w:t>
      </w:r>
      <w:r>
        <w:t xml:space="preserve">negligible; it is the sort of figure that only becomes interesting when</w:t>
      </w:r>
      <w:r>
        <w:t xml:space="preserve"> </w:t>
      </w:r>
      <w:r>
        <w:t xml:space="preserve">disaggregated.</w:t>
      </w:r>
    </w:p>
    <w:p>
      <w:pPr>
        <w:pStyle w:val="BodyText"/>
      </w:pPr>
      <w:r>
        <w:rPr>
          <w:bCs/>
          <w:b/>
        </w:rPr>
        <w:t xml:space="preserve">The distribution is extreme.</w:t>
      </w:r>
      <w:r>
        <w:t xml:space="preserve"> </w:t>
      </w:r>
      <w:r>
        <w:t xml:space="preserve">A clear majority of instruments — 160</w:t>
      </w:r>
      <w:r>
        <w:t xml:space="preserve"> </w:t>
      </w:r>
      <w:r>
        <w:t xml:space="preserve">of 272 — record no change whatever, and the ten most changed instruments</w:t>
      </w:r>
      <w:r>
        <w:t xml:space="preserve"> </w:t>
      </w:r>
      <w:r>
        <w:t xml:space="preserve">hold better than a third of all changed articles. A Gini coefficient of 0.82</w:t>
      </w:r>
      <w:r>
        <w:t xml:space="preserve"> </w:t>
      </w:r>
      <w:r>
        <w:t xml:space="preserve">puts the concentration of legislative change on a par with the concentration</w:t>
      </w:r>
      <w:r>
        <w:t xml:space="preserve"> </w:t>
      </w:r>
      <w:r>
        <w:t xml:space="preserve">of citation reported for the same corpus, and the two concentrations turn out</w:t>
      </w:r>
      <w:r>
        <w:t xml:space="preserve"> </w:t>
      </w:r>
      <w:r>
        <w:t xml:space="preserve">to be related (section 7).</w:t>
      </w:r>
    </w:p>
    <w:p>
      <w:pPr>
        <w:pStyle w:val="BodyText"/>
      </w:pPr>
      <w:r>
        <w:rPr>
          <w:bCs/>
          <w:b/>
        </w:rPr>
        <w:t xml:space="preserve">Amendment is itself concentrated.</w:t>
      </w:r>
      <w:r>
        <w:t xml:space="preserve"> </w:t>
      </w:r>
      <w:r>
        <w:t xml:space="preserve">179 distinct decrees and</w:t>
      </w:r>
      <w:r>
        <w:t xml:space="preserve"> </w:t>
      </w:r>
      <w:r>
        <w:t xml:space="preserve">resolutions account for the amendments that could be attributed, and the ten</w:t>
      </w:r>
      <w:r>
        <w:t xml:space="preserve"> </w:t>
      </w:r>
      <w:r>
        <w:t xml:space="preserve">most active account for 35.4 per cent of the article-amendment pairs. One</w:t>
      </w:r>
      <w:r>
        <w:t xml:space="preserve"> </w:t>
      </w:r>
      <w:r>
        <w:t xml:space="preserve">royal decree alone touches 81 articles. Legislative change in this system</w:t>
      </w:r>
      <w:r>
        <w:t xml:space="preserve"> </w:t>
      </w:r>
      <w:r>
        <w:t xml:space="preserve">arrives in occasional large consignments rather than as a steady drip — a</w:t>
      </w:r>
      <w:r>
        <w:t xml:space="preserve"> </w:t>
      </w:r>
      <w:r>
        <w:t xml:space="preserve">shape that matters for anyone maintaining a downstream copy of the law, since</w:t>
      </w:r>
      <w:r>
        <w:t xml:space="preserve"> </w:t>
      </w:r>
      <w:r>
        <w:t xml:space="preserve">it means the maintenance burden is bursty rather than continuous.</w:t>
      </w:r>
    </w:p>
    <w:bookmarkEnd w:id="35"/>
    <w:bookmarkStart w:id="39" w:name="instruments-change-in-different-ways"/>
    <w:p>
      <w:pPr>
        <w:pStyle w:val="Heading1"/>
      </w:pPr>
      <w:r>
        <w:t xml:space="preserve">Instruments change in different ways</w:t>
      </w:r>
    </w:p>
    <w:p>
      <w:pPr>
        <w:pStyle w:val="FirstParagraph"/>
      </w:pPr>
      <w:r>
        <w:t xml:space="preserve">Figure 1 separates the twelve most changed instruments into</w:t>
      </w:r>
      <w:r>
        <w:t xml:space="preserve"> </w:t>
      </w:r>
      <w:r>
        <w:t xml:space="preserve">amendment, repeal and addition, and the separation does real work. Three</w:t>
      </w:r>
      <w:r>
        <w:t xml:space="preserve"> </w:t>
      </w:r>
      <w:r>
        <w:t xml:space="preserve">signatures are visible, and they are three different legal events.</w:t>
      </w:r>
    </w:p>
    <w:bookmarkStart w:id="36" w:name="hollowing-out."/>
    <w:p>
      <w:pPr>
        <w:pStyle w:val="Heading4"/>
      </w:pPr>
      <w:r>
        <w:t xml:space="preserve">Hollowing out.</w:t>
      </w:r>
    </w:p>
    <w:p>
      <w:pPr>
        <w:pStyle w:val="FirstParagraph"/>
      </w:pPr>
      <w:r>
        <w:t xml:space="preserve">The Law of Sharia Procedure has 90 changed</w:t>
      </w:r>
      <w:r>
        <w:t xml:space="preserve"> </w:t>
      </w:r>
      <w:r>
        <w:t xml:space="preserve">articles, of which 75 are repeals — 54 per cent of every repealed article in</w:t>
      </w:r>
      <w:r>
        <w:t xml:space="preserve"> </w:t>
      </w:r>
      <w:r>
        <w:t xml:space="preserve">the corpus, in one instrument. The Commercial Courts Law shows the same</w:t>
      </w:r>
      <w:r>
        <w:t xml:space="preserve"> </w:t>
      </w:r>
      <w:r>
        <w:t xml:space="preserve">signature at smaller scale: 20 of its 21 changed articles are repeals. This is</w:t>
      </w:r>
      <w:r>
        <w:t xml:space="preserve"> </w:t>
      </w:r>
      <w:r>
        <w:t xml:space="preserve">what it looks like when a subject matter is moved out of an instrument and</w:t>
      </w:r>
      <w:r>
        <w:t xml:space="preserve"> </w:t>
      </w:r>
      <w:r>
        <w:t xml:space="preserve">into a new one, leaving the original in force but emptied in the relevant part.</w:t>
      </w:r>
      <w:r>
        <w:t xml:space="preserve"> </w:t>
      </w:r>
      <w:r>
        <w:t xml:space="preserve">An instrument in this condition is the most dangerous kind for a reader,</w:t>
      </w:r>
      <w:r>
        <w:t xml:space="preserve"> </w:t>
      </w:r>
      <w:r>
        <w:t xml:space="preserve">because its size, its numbering and its continued force all suggest that it is</w:t>
      </w:r>
      <w:r>
        <w:t xml:space="preserve"> </w:t>
      </w:r>
      <w:r>
        <w:t xml:space="preserve">intact.</w:t>
      </w:r>
    </w:p>
    <w:bookmarkEnd w:id="36"/>
    <w:bookmarkStart w:id="37" w:name="accretion."/>
    <w:p>
      <w:pPr>
        <w:pStyle w:val="Heading4"/>
      </w:pPr>
      <w:r>
        <w:t xml:space="preserve">Accretion.</w:t>
      </w:r>
    </w:p>
    <w:p>
      <w:pPr>
        <w:pStyle w:val="FirstParagraph"/>
      </w:pPr>
      <w:r>
        <w:t xml:space="preserve">The Implementing Regulation of the Commercial Agencies</w:t>
      </w:r>
      <w:r>
        <w:t xml:space="preserve"> </w:t>
      </w:r>
      <w:r>
        <w:t xml:space="preserve">Law has 28 changed articles, of which 27 are additions and one an amendment.</w:t>
      </w:r>
      <w:r>
        <w:t xml:space="preserve"> </w:t>
      </w:r>
      <w:r>
        <w:t xml:space="preserve">Nothing was taken away; a regime was extended in place. The Implementing</w:t>
      </w:r>
      <w:r>
        <w:t xml:space="preserve"> </w:t>
      </w:r>
      <w:r>
        <w:t xml:space="preserve">Regulation of the Privatization Law shows a milder version, with 10 additions</w:t>
      </w:r>
      <w:r>
        <w:t xml:space="preserve"> </w:t>
      </w:r>
      <w:r>
        <w:t xml:space="preserve">against 19 amendments.</w:t>
      </w:r>
    </w:p>
    <w:bookmarkEnd w:id="37"/>
    <w:bookmarkStart w:id="38" w:name="tuning."/>
    <w:p>
      <w:pPr>
        <w:pStyle w:val="Heading4"/>
      </w:pPr>
      <w:r>
        <w:t xml:space="preserve">Tuning.</w:t>
      </w:r>
    </w:p>
    <w:p>
      <w:pPr>
        <w:pStyle w:val="FirstParagraph"/>
      </w:pPr>
      <w:r>
        <w:t xml:space="preserve">The VAT Regulation has 42 amendments, three additions and</w:t>
      </w:r>
      <w:r>
        <w:t xml:space="preserve"> </w:t>
      </w:r>
      <w:r>
        <w:t xml:space="preserve">no repeals; the Income Tax Law, 29 amendments and nothing else; the Civil</w:t>
      </w:r>
      <w:r>
        <w:t xml:space="preserve"> </w:t>
      </w:r>
      <w:r>
        <w:t xml:space="preserve">Status Law, 24 amendments and nothing else. Here the instrument’s structure is</w:t>
      </w:r>
      <w:r>
        <w:t xml:space="preserve"> </w:t>
      </w:r>
      <w:r>
        <w:t xml:space="preserve">stable and its content is being adjusted — the pattern one would expect of a</w:t>
      </w:r>
      <w:r>
        <w:t xml:space="preserve"> </w:t>
      </w:r>
      <w:r>
        <w:t xml:space="preserve">technical regime being kept current.</w:t>
      </w:r>
    </w:p>
    <w:p>
      <w:pPr>
        <w:pStyle w:val="BodyText"/>
      </w:pPr>
      <w:r>
        <w:t xml:space="preserve">The fiscal instruments deserve a note of their own. Four of the twelve most</w:t>
      </w:r>
      <w:r>
        <w:t xml:space="preserve"> </w:t>
      </w:r>
      <w:r>
        <w:t xml:space="preserve">changed instruments are tax or tax-adjacent, and between them they hold 147</w:t>
      </w:r>
      <w:r>
        <w:t xml:space="preserve"> </w:t>
      </w:r>
      <w:r>
        <w:t xml:space="preserve">changed articles. That is consistent with what one would expect of a system</w:t>
      </w:r>
      <w:r>
        <w:t xml:space="preserve"> </w:t>
      </w:r>
      <w:r>
        <w:t xml:space="preserve">that introduced value added tax in 2018 and has been adjusting the surrounding</w:t>
      </w:r>
      <w:r>
        <w:t xml:space="preserve"> </w:t>
      </w:r>
      <w:r>
        <w:t xml:space="preserve">regime since, and it is a reminder that a churn ranking is partly a map of</w:t>
      </w:r>
      <w:r>
        <w:t xml:space="preserve"> </w:t>
      </w:r>
      <w:r>
        <w:t xml:space="preserve">recent policy attention rather than of anything intrinsic to the instruments.</w:t>
      </w:r>
    </w:p>
    <w:bookmarkEnd w:id="38"/>
    <w:bookmarkEnd w:id="39"/>
    <w:bookmarkStart w:id="40" w:name="sec:magnitude"/>
    <w:p>
      <w:pPr>
        <w:pStyle w:val="Heading1"/>
      </w:pPr>
      <w:r>
        <w:t xml:space="preserve">What amendment does to the text</w:t>
      </w:r>
    </w:p>
    <w:p>
      <w:pPr>
        <w:pStyle w:val="FirstParagraph"/>
      </w:pPr>
      <w:r>
        <w:t xml:space="preserve">For 87 amended articles the corpus records the wording that was replaced. That</w:t>
      </w:r>
      <w:r>
        <w:t xml:space="preserve"> </w:t>
      </w:r>
      <w:r>
        <w:t xml:space="preserve">is 11.9 per cent of all amended articles, and the sample is not random: it is</w:t>
      </w:r>
      <w:r>
        <w:t xml:space="preserve"> </w:t>
      </w:r>
      <w:r>
        <w:t xml:space="preserve">the articles whose official record happened to expose a prior version. Nothing</w:t>
      </w:r>
      <w:r>
        <w:t xml:space="preserve"> </w:t>
      </w:r>
      <w:r>
        <w:t xml:space="preserve">below should be read as an estimate for the other 88 per cent.</w:t>
      </w:r>
    </w:p>
    <w:p>
      <w:pPr>
        <w:pStyle w:val="BodyText"/>
      </w:pPr>
      <w:r>
        <w:t xml:space="preserve">Within that sample, the median similarity between the current and the</w:t>
      </w:r>
      <w:r>
        <w:t xml:space="preserve"> </w:t>
      </w:r>
      <w:r>
        <w:t xml:space="preserve">superseded wording is 0.82, and the median change in length is four tokens.</w:t>
      </w:r>
      <w:r>
        <w:t xml:space="preserve"> </w:t>
      </w:r>
      <w:r>
        <w:t xml:space="preserve">Thirty-two of the 87 are near-identical (similarity at or above 0.90),</w:t>
      </w:r>
      <w:r>
        <w:t xml:space="preserve"> </w:t>
      </w:r>
      <w:r>
        <w:t xml:space="preserve">thirty-eight are moderate revisions, and seventeen are substantial rewrites</w:t>
      </w:r>
      <w:r>
        <w:t xml:space="preserve"> </w:t>
      </w:r>
      <w:r>
        <w:t xml:space="preserve">(below 0.50). Forty-eight articles grew and thirty-two shrank.</w:t>
      </w:r>
    </w:p>
    <w:p>
      <w:pPr>
        <w:pStyle w:val="BodyText"/>
      </w:pPr>
      <w:r>
        <w:t xml:space="preserve">The distribution matters more than the median. Most amendment in this sample</w:t>
      </w:r>
      <w:r>
        <w:t xml:space="preserve"> </w:t>
      </w:r>
      <w:r>
        <w:t xml:space="preserve">is small — a phrase substituted, a cross-reference updated, a threshold</w:t>
      </w:r>
      <w:r>
        <w:t xml:space="preserve"> </w:t>
      </w:r>
      <w:r>
        <w:t xml:space="preserve">changed. But roughly one amendment in five replaces most of the article’s</w:t>
      </w:r>
      <w:r>
        <w:t xml:space="preserve"> </w:t>
      </w:r>
      <w:r>
        <w:t xml:space="preserve">wording. Article 72 of the Law of the Judiciary retains under a tenth of its</w:t>
      </w:r>
      <w:r>
        <w:t xml:space="preserve"> </w:t>
      </w:r>
      <w:r>
        <w:t xml:space="preserve">former vocabulary and shrank from 29 tokens to 6; article 30 of the Code of</w:t>
      </w:r>
      <w:r>
        <w:t xml:space="preserve"> </w:t>
      </w:r>
      <w:r>
        <w:t xml:space="preserve">Law Practice, likewise, from 34 to 14. An amendment, in other words, is not a</w:t>
      </w:r>
      <w:r>
        <w:t xml:space="preserve"> </w:t>
      </w:r>
      <w:r>
        <w:t xml:space="preserve">category with a typical magnitude; it is a label covering interventions that</w:t>
      </w:r>
      <w:r>
        <w:t xml:space="preserve"> </w:t>
      </w:r>
      <w:r>
        <w:t xml:space="preserve">differ by an order of magnitude in what they do to the text. A system that</w:t>
      </w:r>
      <w:r>
        <w:t xml:space="preserve"> </w:t>
      </w:r>
      <w:r>
        <w:t xml:space="preserve">tells a reader only that an article</w:t>
      </w:r>
      <w:r>
        <w:t xml:space="preserve"> </w:t>
      </w:r>
      <w:r>
        <w:t xml:space="preserve">‘</w:t>
      </w:r>
      <w:r>
        <w:t xml:space="preserve">has been amended</w:t>
      </w:r>
      <w:r>
        <w:t xml:space="preserve">’</w:t>
      </w:r>
      <w:r>
        <w:t xml:space="preserve"> </w:t>
      </w:r>
      <w:r>
        <w:t xml:space="preserve">has told them very</w:t>
      </w:r>
      <w:r>
        <w:t xml:space="preserve"> </w:t>
      </w:r>
      <w:r>
        <w:t xml:space="preserve">little.</w:t>
      </w:r>
    </w:p>
    <w:bookmarkEnd w:id="40"/>
    <w:bookmarkStart w:id="44" w:name="sec:reliance"/>
    <w:p>
      <w:pPr>
        <w:pStyle w:val="Heading1"/>
      </w:pPr>
      <w:r>
        <w:t xml:space="preserve">Change and reliance</w:t>
      </w:r>
    </w:p>
    <w:p>
      <w:pPr>
        <w:pStyle w:val="FirstParagraph"/>
      </w:pPr>
      <w:r>
        <w:rPr>
          <w:iCs/>
          <w:i/>
        </w:rPr>
        <w:t xml:space="preserve">[Figure 2 near here — supplied as a separate file, fig2_citation_tiers.eps]</w:t>
      </w:r>
    </w:p>
    <w:p>
      <w:pPr>
        <w:pStyle w:val="BodyText"/>
      </w:pPr>
      <w:r>
        <w:rPr>
          <w:bCs/>
          <w:b/>
        </w:rPr>
        <w:t xml:space="preserve">Figure 2.</w:t>
      </w:r>
      <w:r>
        <w:t xml:space="preserve"> </w:t>
      </w:r>
      <w:r>
        <w:t xml:space="preserve">Mean churn rate by citation tier, over the 189 instruments of at</w:t>
      </w:r>
      <w:r>
        <w:t xml:space="preserve"> </w:t>
      </w:r>
      <w:r>
        <w:t xml:space="preserve">least 20 articles. The three tiers are not disjoint: the fifteen most cited</w:t>
      </w:r>
      <w:r>
        <w:t xml:space="preserve"> </w:t>
      </w:r>
      <w:r>
        <w:t xml:space="preserve">are a subset of the cited.</w:t>
      </w:r>
    </w:p>
    <w:bookmarkStart w:id="41" w:name="instruments-others-rely-on-change-more"/>
    <w:p>
      <w:pPr>
        <w:pStyle w:val="Heading2"/>
      </w:pPr>
      <w:r>
        <w:t xml:space="preserve">Instruments others rely on change more</w:t>
      </w:r>
    </w:p>
    <w:p>
      <w:pPr>
        <w:pStyle w:val="FirstParagraph"/>
      </w:pPr>
      <w:r>
        <w:t xml:space="preserve">Restricting to the 189 instruments with at least 20 articles — below that a</w:t>
      </w:r>
      <w:r>
        <w:t xml:space="preserve"> </w:t>
      </w:r>
      <w:r>
        <w:t xml:space="preserve">churn rate is dominated by its denominator — the instruments that other</w:t>
      </w:r>
      <w:r>
        <w:t xml:space="preserve"> </w:t>
      </w:r>
      <w:r>
        <w:t xml:space="preserve">instruments cite have a mean churn rate of 10.7 per cent, against 6.1 per cent</w:t>
      </w:r>
      <w:r>
        <w:t xml:space="preserve"> </w:t>
      </w:r>
      <w:r>
        <w:t xml:space="preserve">for the 115 instruments no other instrument cites. The fifteen most cited</w:t>
      </w:r>
      <w:r>
        <w:t xml:space="preserve"> </w:t>
      </w:r>
      <w:r>
        <w:t xml:space="preserve">average 13.4 per cent (Figure 2).</w:t>
      </w:r>
    </w:p>
    <w:p>
      <w:pPr>
        <w:pStyle w:val="BodyText"/>
      </w:pPr>
      <w:r>
        <w:t xml:space="preserve">The gradient is clean, and it is also exactly the sort of result that deserves</w:t>
      </w:r>
      <w:r>
        <w:t xml:space="preserve"> </w:t>
      </w:r>
      <w:r>
        <w:t xml:space="preserve">scepticism.</w:t>
      </w:r>
      <w:r>
        <w:t xml:space="preserve"> </w:t>
      </w:r>
      <w:r>
        <w:rPr>
          <w:bCs/>
          <w:b/>
        </w:rPr>
        <w:t xml:space="preserve">Age is not controlled for.</w:t>
      </w:r>
      <w:r>
        <w:t xml:space="preserve"> </w:t>
      </w:r>
      <w:r>
        <w:t xml:space="preserve">An instrument enacted in</w:t>
      </w:r>
      <w:r>
        <w:t xml:space="preserve"> </w:t>
      </w:r>
      <w:r>
        <w:t xml:space="preserve">1426H has had two decades in which to be amended and two decades in which to</w:t>
      </w:r>
      <w:r>
        <w:t xml:space="preserve"> </w:t>
      </w:r>
      <w:r>
        <w:t xml:space="preserve">accumulate citations; an instrument enacted last year has had neither. The</w:t>
      </w:r>
      <w:r>
        <w:t xml:space="preserve"> </w:t>
      </w:r>
      <w:r>
        <w:t xml:space="preserve">gradient is therefore consistent with a real relationship between reliance and</w:t>
      </w:r>
      <w:r>
        <w:t xml:space="preserve"> </w:t>
      </w:r>
      <w:r>
        <w:t xml:space="preserve">change, with simple ageing, or with both. It cannot be separated here: the</w:t>
      </w:r>
      <w:r>
        <w:t xml:space="preserve"> </w:t>
      </w:r>
      <w:r>
        <w:t xml:space="preserve">corpus registry carries a publication date for two of its 291 tracks, so the</w:t>
      </w:r>
      <w:r>
        <w:t xml:space="preserve"> </w:t>
      </w:r>
      <w:r>
        <w:t xml:space="preserve">control is unavailable. Establishing which explanation holds would need a</w:t>
      </w:r>
      <w:r>
        <w:t xml:space="preserve"> </w:t>
      </w:r>
      <w:r>
        <w:t xml:space="preserve">dated corpus, and building one is a worthwhile piece of work in itself.</w:t>
      </w:r>
    </w:p>
    <w:p>
      <w:pPr>
        <w:pStyle w:val="BodyText"/>
      </w:pPr>
      <w:r>
        <w:t xml:space="preserve">What can be said without the control is the descriptive fact, and it is not</w:t>
      </w:r>
      <w:r>
        <w:t xml:space="preserve"> </w:t>
      </w:r>
      <w:r>
        <w:t xml:space="preserve">trivial: the instruments a legal system’s other instruments depend on are, as</w:t>
      </w:r>
      <w:r>
        <w:t xml:space="preserve"> </w:t>
      </w:r>
      <w:r>
        <w:t xml:space="preserve">things stand, the least stable part of it. Whatever the causal story, a reader</w:t>
      </w:r>
      <w:r>
        <w:t xml:space="preserve"> </w:t>
      </w:r>
      <w:r>
        <w:t xml:space="preserve">or a system that relies on the Companies Law or the Labour Law is relying on</w:t>
      </w:r>
      <w:r>
        <w:t xml:space="preserve"> </w:t>
      </w:r>
      <w:r>
        <w:t xml:space="preserve">text that moves more often than the average.</w:t>
      </w:r>
    </w:p>
    <w:bookmarkEnd w:id="41"/>
    <w:bookmarkStart w:id="43" w:name="Xf30581d07c0b4def6ee17b13930f04e01d68c2d"/>
    <w:p>
      <w:pPr>
        <w:pStyle w:val="Heading2"/>
      </w:pPr>
      <w:r>
        <w:t xml:space="preserve">Cross-instrument references are exposed; internal ones are not</w:t>
      </w:r>
    </w:p>
    <w:p>
      <w:pPr>
        <w:pStyle w:val="FirstParagraph"/>
      </w:pPr>
      <w:r>
        <w:t xml:space="preserve">Of the corpus’s cross-references, 2,624 resolve to a specific article whose</w:t>
      </w:r>
      <w:r>
        <w:t xml:space="preserve"> </w:t>
      </w:r>
      <w:r>
        <w:t xml:space="preserve">status is known. Of those, 233 — 8.9 per cent — point at an article that</w:t>
      </w:r>
      <w:r>
        <w:t xml:space="preserve"> </w:t>
      </w:r>
      <w:r>
        <w:t xml:space="preserve">has since been amended or repealed. Against a corpus base rate of 7.4 per cent</w:t>
      </w:r>
      <w:r>
        <w:t xml:space="preserve"> </w:t>
      </w:r>
      <w:r>
        <w:t xml:space="preserve">that is a ratio of 1.19: essentially nothing. Reported alone,</w:t>
      </w:r>
      <w:r>
        <w:t xml:space="preserve"> </w:t>
      </w:r>
      <w:r>
        <w:t xml:space="preserve">‘</w:t>
      </w:r>
      <w:r>
        <w:t xml:space="preserve">nine per cent</w:t>
      </w:r>
      <w:r>
        <w:t xml:space="preserve"> </w:t>
      </w:r>
      <w:r>
        <w:t xml:space="preserve">of citations point at changed law</w:t>
      </w:r>
      <w:r>
        <w:t xml:space="preserve">’</w:t>
      </w:r>
      <w:r>
        <w:t xml:space="preserve"> </w:t>
      </w:r>
      <w:r>
        <w:t xml:space="preserve">would be a finding about the base rate</w:t>
      </w:r>
      <w:r>
        <w:t xml:space="preserve"> </w:t>
      </w:r>
      <w:r>
        <w:t xml:space="preserve">wearing a disguise.</w:t>
      </w:r>
    </w:p>
    <w:p>
      <w:pPr>
        <w:pStyle w:val="BodyText"/>
      </w:pPr>
      <w:r>
        <w:t xml:space="preserve">The result appears when the references are split by type.</w:t>
      </w:r>
    </w:p>
    <w:bookmarkStart w:id="42" w:name="tab:exposure"/>
    <w:p>
      <w:pPr>
        <w:pStyle w:val="TableCaption"/>
      </w:pPr>
      <w:r>
        <w:t xml:space="preserve">Exposure of cross-references to changed articles.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Exposure of cross-references to changed articles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 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Resolved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At changed text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an article of another instrument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an article of the same instrument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 base rate of changed articles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7.4%</w:t>
            </w:r>
          </w:p>
        </w:tc>
      </w:tr>
    </w:tbl>
    <w:bookmarkEnd w:id="42"/>
    <w:p>
      <w:pPr>
        <w:pStyle w:val="BodyText"/>
      </w:pPr>
      <w:r>
        <w:t xml:space="preserve">References an instrument makes to its own articles sit at the base rate.</w:t>
      </w:r>
      <w:r>
        <w:t xml:space="preserve"> </w:t>
      </w:r>
      <w:r>
        <w:t xml:space="preserve">References it makes to another instrument’s articles are more than twice as</w:t>
      </w:r>
      <w:r>
        <w:t xml:space="preserve"> </w:t>
      </w:r>
      <w:r>
        <w:t xml:space="preserve">likely to point at text that has moved.</w:t>
      </w:r>
    </w:p>
    <w:p>
      <w:pPr>
        <w:pStyle w:val="BodyText"/>
      </w:pPr>
      <w:r>
        <w:t xml:space="preserve">The mechanism is not mysterious, and that is what makes the result useful. A</w:t>
      </w:r>
      <w:r>
        <w:t xml:space="preserve"> </w:t>
      </w:r>
      <w:r>
        <w:t xml:space="preserve">drafter amending an instrument has the whole of that instrument in front of</w:t>
      </w:r>
      <w:r>
        <w:t xml:space="preserve"> </w:t>
      </w:r>
      <w:r>
        <w:t xml:space="preserve">them. Internal cross-references are visible, and updating them is part of the</w:t>
      </w:r>
      <w:r>
        <w:t xml:space="preserve"> </w:t>
      </w:r>
      <w:r>
        <w:t xml:space="preserve">job. References</w:t>
      </w:r>
      <w:r>
        <w:t xml:space="preserve"> </w:t>
      </w:r>
      <w:r>
        <w:rPr>
          <w:iCs/>
          <w:i/>
        </w:rPr>
        <w:t xml:space="preserve">into</w:t>
      </w:r>
      <w:r>
        <w:t xml:space="preserve"> </w:t>
      </w:r>
      <w:r>
        <w:t xml:space="preserve">the instrument from elsewhere are not visible —</w:t>
      </w:r>
      <w:r>
        <w:t xml:space="preserve"> </w:t>
      </w:r>
      <w:r>
        <w:t xml:space="preserve">there is no index of them, and no step in the process at which anyone is asked</w:t>
      </w:r>
      <w:r>
        <w:t xml:space="preserve"> </w:t>
      </w:r>
      <w:r>
        <w:t xml:space="preserve">to look. The excess exposure is the measurable trace of a gap in the drafting</w:t>
      </w:r>
      <w:r>
        <w:t xml:space="preserve"> </w:t>
      </w:r>
      <w:r>
        <w:t xml:space="preserve">workflow rather than of anyone’s carelessness.</w:t>
      </w:r>
    </w:p>
    <w:p>
      <w:pPr>
        <w:pStyle w:val="BodyText"/>
      </w:pPr>
      <w:r>
        <w:t xml:space="preserve">Two cautions. The inter-instrument figure rests on 86 resolved references,</w:t>
      </w:r>
      <w:r>
        <w:t xml:space="preserve"> </w:t>
      </w:r>
      <w:r>
        <w:t xml:space="preserve">which is a small base; the corresponding confidence is correspondingly loose,</w:t>
      </w:r>
      <w:r>
        <w:t xml:space="preserve"> </w:t>
      </w:r>
      <w:r>
        <w:t xml:space="preserve">and the finding should be treated as an indication with a plausible mechanism</w:t>
      </w:r>
      <w:r>
        <w:t xml:space="preserve"> </w:t>
      </w:r>
      <w:r>
        <w:t xml:space="preserve">rather than a settled rate. And</w:t>
      </w:r>
      <w:r>
        <w:t xml:space="preserve"> </w:t>
      </w:r>
      <w:r>
        <w:t xml:space="preserve">‘</w:t>
      </w:r>
      <w:r>
        <w:t xml:space="preserve">points at an amended article</w:t>
      </w:r>
      <w:r>
        <w:t xml:space="preserve">’</w:t>
      </w:r>
      <w:r>
        <w:t xml:space="preserve"> </w:t>
      </w:r>
      <w:r>
        <w:t xml:space="preserve">is not the same</w:t>
      </w:r>
      <w:r>
        <w:t xml:space="preserve"> </w:t>
      </w:r>
      <w:r>
        <w:t xml:space="preserve">as</w:t>
      </w:r>
      <w:r>
        <w:t xml:space="preserve"> </w:t>
      </w:r>
      <w:r>
        <w:t xml:space="preserve">‘</w:t>
      </w:r>
      <w:r>
        <w:t xml:space="preserve">is now wrong</w:t>
      </w:r>
      <w:r>
        <w:t xml:space="preserve">’</w:t>
      </w:r>
      <w:r>
        <w:t xml:space="preserve">: an amendment may leave the cited proposition untouched.</w:t>
      </w:r>
      <w:r>
        <w:t xml:space="preserve"> </w:t>
      </w:r>
      <w:r>
        <w:t xml:space="preserve">What the number identifies is a set of references that nobody has checked, not</w:t>
      </w:r>
      <w:r>
        <w:t xml:space="preserve"> </w:t>
      </w:r>
      <w:r>
        <w:t xml:space="preserve">a set of errors.</w:t>
      </w:r>
    </w:p>
    <w:bookmarkEnd w:id="43"/>
    <w:bookmarkEnd w:id="44"/>
    <w:bookmarkStart w:id="49" w:name="what-follows"/>
    <w:p>
      <w:pPr>
        <w:pStyle w:val="Heading1"/>
      </w:pPr>
      <w:r>
        <w:t xml:space="preserve">What follows</w:t>
      </w:r>
    </w:p>
    <w:bookmarkStart w:id="45" w:name="consolidation-is-not-the-whole-answer."/>
    <w:p>
      <w:pPr>
        <w:pStyle w:val="Heading4"/>
      </w:pPr>
      <w:r>
        <w:t xml:space="preserve">Consolidation is not the whole answer.</w:t>
      </w:r>
    </w:p>
    <w:p>
      <w:pPr>
        <w:pStyle w:val="FirstParagraph"/>
      </w:pPr>
      <w:r>
        <w:t xml:space="preserve">The standard remedy for an</w:t>
      </w:r>
      <w:r>
        <w:t xml:space="preserve"> </w:t>
      </w:r>
      <w:r>
        <w:t xml:space="preserve">unreadable statute book is consolidation — publishing the current text so</w:t>
      </w:r>
      <w:r>
        <w:t xml:space="preserve"> </w:t>
      </w:r>
      <w:r>
        <w:t xml:space="preserve">that a reader need not assemble it. Saudi practice already does this: the</w:t>
      </w:r>
      <w:r>
        <w:t xml:space="preserve"> </w:t>
      </w:r>
      <w:r>
        <w:t xml:space="preserve">official record shows the consolidated article. The Sharia Procedure Law shows</w:t>
      </w:r>
      <w:r>
        <w:t xml:space="preserve"> </w:t>
      </w:r>
      <w:r>
        <w:t xml:space="preserve">the limit of the remedy. Its consolidated text is accurate and it is</w:t>
      </w:r>
      <w:r>
        <w:t xml:space="preserve"> </w:t>
      </w:r>
      <w:r>
        <w:t xml:space="preserve">misleading, because an instrument that has lost a third of its articles to</w:t>
      </w:r>
      <w:r>
        <w:t xml:space="preserve"> </w:t>
      </w:r>
      <w:r>
        <w:t xml:space="preserve">repeal looks, consolidated, much like an instrument that has lost none. What a</w:t>
      </w:r>
      <w:r>
        <w:t xml:space="preserve"> </w:t>
      </w:r>
      <w:r>
        <w:t xml:space="preserve">reader needs is not only the current text but the fact of its distance from</w:t>
      </w:r>
      <w:r>
        <w:t xml:space="preserve"> </w:t>
      </w:r>
      <w:r>
        <w:t xml:space="preserve">the enacted one, and that is a presentational choice available today at no</w:t>
      </w:r>
      <w:r>
        <w:t xml:space="preserve"> </w:t>
      </w:r>
      <w:r>
        <w:t xml:space="preserve">legislative cost.</w:t>
      </w:r>
    </w:p>
    <w:bookmarkEnd w:id="45"/>
    <w:bookmarkStart w:id="46" w:name="reverse-references-are-the-missing-tool."/>
    <w:p>
      <w:pPr>
        <w:pStyle w:val="Heading4"/>
      </w:pPr>
      <w:r>
        <w:t xml:space="preserve">Reverse references are the missing tool.</w:t>
      </w:r>
    </w:p>
    <w:p>
      <w:pPr>
        <w:pStyle w:val="FirstParagraph"/>
      </w:pPr>
      <w:r>
        <w:t xml:space="preserve">If cross-instrument</w:t>
      </w:r>
      <w:r>
        <w:t xml:space="preserve"> </w:t>
      </w:r>
      <w:r>
        <w:t xml:space="preserve">references are the exposed ones, and they are exposed because a drafter cannot</w:t>
      </w:r>
      <w:r>
        <w:t xml:space="preserve"> </w:t>
      </w:r>
      <w:r>
        <w:t xml:space="preserve">see them, then the intervention is to make them visible. A reverse index —</w:t>
      </w:r>
      <w:r>
        <w:t xml:space="preserve"> </w:t>
      </w:r>
      <w:r>
        <w:t xml:space="preserve">for any article, the list of provisions elsewhere that cite it — is</w:t>
      </w:r>
      <w:r>
        <w:t xml:space="preserve"> </w:t>
      </w:r>
      <w:r>
        <w:t xml:space="preserve">computable from a corpus of the kind used here, and consulting it at the point</w:t>
      </w:r>
      <w:r>
        <w:t xml:space="preserve"> </w:t>
      </w:r>
      <w:r>
        <w:t xml:space="preserve">of amendment would convert an invisible risk into a checklist. This is the</w:t>
      </w:r>
      <w:r>
        <w:t xml:space="preserve"> </w:t>
      </w:r>
      <w:r>
        <w:t xml:space="preserve">same instrument the companion citation study proposed for a different purpose,</w:t>
      </w:r>
      <w:r>
        <w:t xml:space="preserve"> </w:t>
      </w:r>
      <w:r>
        <w:t xml:space="preserve">and it is worth noting that one artefact serves both.</w:t>
      </w:r>
    </w:p>
    <w:bookmarkEnd w:id="46"/>
    <w:bookmarkStart w:id="47" w:name="X21417e9d914b00ad0596e12aa2e7a322596e478"/>
    <w:p>
      <w:pPr>
        <w:pStyle w:val="Heading4"/>
      </w:pPr>
      <w:r>
        <w:t xml:space="preserve">‘</w:t>
      </w:r>
      <w:r>
        <w:t xml:space="preserve">Amended</w:t>
      </w:r>
      <w:r>
        <w:t xml:space="preserve">’</w:t>
      </w:r>
      <w:r>
        <w:t xml:space="preserve"> </w:t>
      </w:r>
      <w:r>
        <w:t xml:space="preserve">is too coarse a label to publish alone.</w:t>
      </w:r>
    </w:p>
    <w:p>
      <w:pPr>
        <w:pStyle w:val="FirstParagraph"/>
      </w:pPr>
      <w:r>
        <w:t xml:space="preserve">Section</w:t>
      </w:r>
      <w:r>
        <w:t xml:space="preserve"> </w:t>
      </w:r>
      <w:r>
        <w:t xml:space="preserve">6 found amendments ranging from a substituted phrase to the</w:t>
      </w:r>
      <w:r>
        <w:t xml:space="preserve"> </w:t>
      </w:r>
      <w:r>
        <w:t xml:space="preserve">replacement of ninety per cent of an article’s wording, all carrying the same</w:t>
      </w:r>
      <w:r>
        <w:t xml:space="preserve"> </w:t>
      </w:r>
      <w:r>
        <w:t xml:space="preserve">label. Where the superseded text exists in the record, showing it — or even</w:t>
      </w:r>
      <w:r>
        <w:t xml:space="preserve"> </w:t>
      </w:r>
      <w:r>
        <w:t xml:space="preserve">showing a similarity indicator — costs nothing and tells a reader whether</w:t>
      </w:r>
      <w:r>
        <w:t xml:space="preserve"> </w:t>
      </w:r>
      <w:r>
        <w:t xml:space="preserve">the amendment they are looking at is worth reading.</w:t>
      </w:r>
    </w:p>
    <w:bookmarkEnd w:id="47"/>
    <w:bookmarkStart w:id="48" w:name="for-legal-information-systems."/>
    <w:p>
      <w:pPr>
        <w:pStyle w:val="Heading4"/>
      </w:pPr>
      <w:r>
        <w:t xml:space="preserve">For legal information systems.</w:t>
      </w:r>
    </w:p>
    <w:p>
      <w:pPr>
        <w:pStyle w:val="FirstParagraph"/>
      </w:pPr>
      <w:r>
        <w:t xml:space="preserve">Any system answering questions over</w:t>
      </w:r>
      <w:r>
        <w:t xml:space="preserve"> </w:t>
      </w:r>
      <w:r>
        <w:t xml:space="preserve">statutory text is answering from a snapshot. The results here say where the</w:t>
      </w:r>
      <w:r>
        <w:t xml:space="preserve"> </w:t>
      </w:r>
      <w:r>
        <w:t xml:space="preserve">snapshot decays fastest: not evenly, but in a small number of heavily-cited</w:t>
      </w:r>
      <w:r>
        <w:t xml:space="preserve"> </w:t>
      </w:r>
      <w:r>
        <w:t xml:space="preserve">instruments, and in bursts when a large amending decree lands. A refresh policy</w:t>
      </w:r>
      <w:r>
        <w:t xml:space="preserve"> </w:t>
      </w:r>
      <w:r>
        <w:t xml:space="preserve">that treats all instruments alike is doing too much work on the 58.8 per cent</w:t>
      </w:r>
      <w:r>
        <w:t xml:space="preserve"> </w:t>
      </w:r>
      <w:r>
        <w:t xml:space="preserve">that never change and too little on the handful that carry most of the</w:t>
      </w:r>
      <w:r>
        <w:t xml:space="preserve"> </w:t>
      </w:r>
      <w:r>
        <w:t xml:space="preserve">movement.</w:t>
      </w:r>
    </w:p>
    <w:bookmarkEnd w:id="48"/>
    <w:bookmarkEnd w:id="49"/>
    <w:bookmarkStart w:id="56" w:name="limitations"/>
    <w:p>
      <w:pPr>
        <w:pStyle w:val="Heading1"/>
      </w:pPr>
      <w:r>
        <w:t xml:space="preserve">Limitations</w:t>
      </w:r>
    </w:p>
    <w:bookmarkStart w:id="50" w:name="Xdb71887c35a73e2eb344ee536fa3efa55a7ad9d"/>
    <w:p>
      <w:pPr>
        <w:pStyle w:val="Heading4"/>
      </w:pPr>
      <w:r>
        <w:t xml:space="preserve">The status layer is a transcription, not an audit.</w:t>
      </w:r>
    </w:p>
    <w:p>
      <w:pPr>
        <w:pStyle w:val="FirstParagraph"/>
      </w:pPr>
      <w:r>
        <w:t xml:space="preserve">Statuses come</w:t>
      </w:r>
      <w:r>
        <w:t xml:space="preserve"> </w:t>
      </w:r>
      <w:r>
        <w:t xml:space="preserve">from what the official record exposed for each article at the time the corpus</w:t>
      </w:r>
      <w:r>
        <w:t xml:space="preserve"> </w:t>
      </w:r>
      <w:r>
        <w:t xml:space="preserve">was built. Where the record is silent about an amendment, the article counts</w:t>
      </w:r>
      <w:r>
        <w:t xml:space="preserve"> </w:t>
      </w:r>
      <w:r>
        <w:t xml:space="preserve">as original here. The direction of that error is one-way: churn is understated,</w:t>
      </w:r>
      <w:r>
        <w:t xml:space="preserve"> </w:t>
      </w:r>
      <w:r>
        <w:t xml:space="preserve">not overstated.</w:t>
      </w:r>
    </w:p>
    <w:bookmarkEnd w:id="50"/>
    <w:bookmarkStart w:id="51" w:name="coverage-is-partial-and-uneven."/>
    <w:p>
      <w:pPr>
        <w:pStyle w:val="Heading4"/>
      </w:pPr>
      <w:r>
        <w:t xml:space="preserve">Coverage is partial and uneven.</w:t>
      </w:r>
    </w:p>
    <w:p>
      <w:pPr>
        <w:pStyle w:val="FirstParagraph"/>
      </w:pPr>
      <w:r>
        <w:t xml:space="preserve">272 of 291 tracks carry statuses,</w:t>
      </w:r>
      <w:r>
        <w:t xml:space="preserve"> </w:t>
      </w:r>
      <w:r>
        <w:t xml:space="preserve">and the 19 that do not are not a random sample. More importantly, the depth of</w:t>
      </w:r>
      <w:r>
        <w:t xml:space="preserve"> </w:t>
      </w:r>
      <w:r>
        <w:t xml:space="preserve">the amendment history varies by source: some instruments expose an event log,</w:t>
      </w:r>
      <w:r>
        <w:t xml:space="preserve"> </w:t>
      </w:r>
      <w:r>
        <w:t xml:space="preserve">some a prior version, most nothing at all. Every measure states the subset it</w:t>
      </w:r>
      <w:r>
        <w:t xml:space="preserve"> </w:t>
      </w:r>
      <w:r>
        <w:t xml:space="preserve">was computed on.</w:t>
      </w:r>
    </w:p>
    <w:bookmarkEnd w:id="51"/>
    <w:bookmarkStart w:id="52" w:name="Xc30a1770f8691301fcc0a113bfa02eb989f9fcf"/>
    <w:p>
      <w:pPr>
        <w:pStyle w:val="Heading4"/>
      </w:pPr>
      <w:r>
        <w:t xml:space="preserve">The magnitude sample is small and selected.</w:t>
      </w:r>
    </w:p>
    <w:p>
      <w:pPr>
        <w:pStyle w:val="FirstParagraph"/>
      </w:pPr>
      <w:r>
        <w:t xml:space="preserve">Eighty-seven articles,</w:t>
      </w:r>
      <w:r>
        <w:t xml:space="preserve"> </w:t>
      </w:r>
      <w:r>
        <w:t xml:space="preserve">11.9 per cent of amended articles, chosen by whether their source happened to</w:t>
      </w:r>
      <w:r>
        <w:t xml:space="preserve"> </w:t>
      </w:r>
      <w:r>
        <w:t xml:space="preserve">publish a prior version. It supports the claim that amendments vary enormously</w:t>
      </w:r>
      <w:r>
        <w:t xml:space="preserve"> </w:t>
      </w:r>
      <w:r>
        <w:t xml:space="preserve">in magnitude. It does not support any estimate of how the other 88 per cent are</w:t>
      </w:r>
      <w:r>
        <w:t xml:space="preserve"> </w:t>
      </w:r>
      <w:r>
        <w:t xml:space="preserve">distributed.</w:t>
      </w:r>
    </w:p>
    <w:bookmarkEnd w:id="52"/>
    <w:bookmarkStart w:id="53" w:name="the-reliance-gradient-is-uncontrolled."/>
    <w:p>
      <w:pPr>
        <w:pStyle w:val="Heading4"/>
      </w:pPr>
      <w:r>
        <w:t xml:space="preserve">The reliance gradient is uncontrolled.</w:t>
      </w:r>
    </w:p>
    <w:p>
      <w:pPr>
        <w:pStyle w:val="FirstParagraph"/>
      </w:pPr>
      <w:r>
        <w:t xml:space="preserve">As section 7</w:t>
      </w:r>
      <w:r>
        <w:t xml:space="preserve"> </w:t>
      </w:r>
      <w:r>
        <w:t xml:space="preserve">states, age is a live alternative explanation and cannot be tested from this</w:t>
      </w:r>
      <w:r>
        <w:t xml:space="preserve"> </w:t>
      </w:r>
      <w:r>
        <w:t xml:space="preserve">corpus.</w:t>
      </w:r>
    </w:p>
    <w:bookmarkEnd w:id="53"/>
    <w:bookmarkStart w:id="54" w:name="dates-are-too-sparse-for-a-time-series."/>
    <w:p>
      <w:pPr>
        <w:pStyle w:val="Heading4"/>
      </w:pPr>
      <w:r>
        <w:t xml:space="preserve">Dates are too sparse for a time series.</w:t>
      </w:r>
    </w:p>
    <w:p>
      <w:pPr>
        <w:pStyle w:val="FirstParagraph"/>
      </w:pPr>
      <w:r>
        <w:t xml:space="preserve">Only 174 of 759</w:t>
      </w:r>
      <w:r>
        <w:t xml:space="preserve"> </w:t>
      </w:r>
      <w:r>
        <w:t xml:space="preserve">article-amendment pairs carry a Gregorian date, and the instruments that carry</w:t>
      </w:r>
      <w:r>
        <w:t xml:space="preserve"> </w:t>
      </w:r>
      <w:r>
        <w:t xml:space="preserve">dates are not representative. The apparent concentration of dated amendments in</w:t>
      </w:r>
      <w:r>
        <w:t xml:space="preserve"> </w:t>
      </w:r>
      <w:r>
        <w:t xml:space="preserve">a single year is an artefact of which sources expose dates, and no</w:t>
      </w:r>
      <w:r>
        <w:t xml:space="preserve"> </w:t>
      </w:r>
      <w:r>
        <w:t xml:space="preserve">year-on-year analysis is attempted here.</w:t>
      </w:r>
    </w:p>
    <w:bookmarkEnd w:id="54"/>
    <w:bookmarkStart w:id="55" w:name="reference-resolution-is-automatic."/>
    <w:p>
      <w:pPr>
        <w:pStyle w:val="Heading4"/>
      </w:pPr>
      <w:r>
        <w:t xml:space="preserve">Reference resolution is automatic.</w:t>
      </w:r>
    </w:p>
    <w:p>
      <w:pPr>
        <w:pStyle w:val="FirstParagraph"/>
      </w:pPr>
      <w:r>
        <w:t xml:space="preserve">The cross-reference layer is</w:t>
      </w:r>
      <w:r>
        <w:t xml:space="preserve"> </w:t>
      </w:r>
      <w:r>
        <w:t xml:space="preserve">built by pattern extraction, and the companion citation study found that a</w:t>
      </w:r>
      <w:r>
        <w:t xml:space="preserve"> </w:t>
      </w:r>
      <w:r>
        <w:t xml:space="preserve">small share of resolved edges were misresolutions. Section 7’s</w:t>
      </w:r>
      <w:r>
        <w:t xml:space="preserve"> </w:t>
      </w:r>
      <w:r>
        <w:t xml:space="preserve">inter-instrument figure rests on 86 references, so a handful of bad</w:t>
      </w:r>
      <w:r>
        <w:t xml:space="preserve"> </w:t>
      </w:r>
      <w:r>
        <w:t xml:space="preserve">resolutions would move it.</w:t>
      </w:r>
    </w:p>
    <w:bookmarkEnd w:id="55"/>
    <w:bookmarkEnd w:id="56"/>
    <w:bookmarkStart w:id="5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Saudi legislation changes little in aggregate and very unevenly in</w:t>
      </w:r>
      <w:r>
        <w:t xml:space="preserve"> </w:t>
      </w:r>
      <w:r>
        <w:t xml:space="preserve">distribution. Of 13,089 articles, 973 are no longer in their original form; of</w:t>
      </w:r>
      <w:r>
        <w:t xml:space="preserve"> </w:t>
      </w:r>
      <w:r>
        <w:t xml:space="preserve">272 instruments, 160 have never changed at all, while ten hold a third of all</w:t>
      </w:r>
      <w:r>
        <w:t xml:space="preserve"> </w:t>
      </w:r>
      <w:r>
        <w:t xml:space="preserve">the change. Instruments do not merely change by different amounts, they change</w:t>
      </w:r>
      <w:r>
        <w:t xml:space="preserve"> </w:t>
      </w:r>
      <w:r>
        <w:t xml:space="preserve">in different ways — hollowed out by repeal, extended by addition, or tuned in</w:t>
      </w:r>
      <w:r>
        <w:t xml:space="preserve"> </w:t>
      </w:r>
      <w:r>
        <w:t xml:space="preserve">place — and the three are different legal events that a single count would</w:t>
      </w:r>
      <w:r>
        <w:t xml:space="preserve"> </w:t>
      </w:r>
      <w:r>
        <w:t xml:space="preserve">merge.</w:t>
      </w:r>
    </w:p>
    <w:p>
      <w:pPr>
        <w:pStyle w:val="BodyText"/>
      </w:pPr>
      <w:r>
        <w:t xml:space="preserve">Two of the results bear on how a legal system is used rather than on how it is</w:t>
      </w:r>
      <w:r>
        <w:t xml:space="preserve"> </w:t>
      </w:r>
      <w:r>
        <w:t xml:space="preserve">written. The instruments other instruments rely on are the least stable, though</w:t>
      </w:r>
      <w:r>
        <w:t xml:space="preserve"> </w:t>
      </w:r>
      <w:r>
        <w:t xml:space="preserve">this article cannot separate that from ageing. And references from one</w:t>
      </w:r>
      <w:r>
        <w:t xml:space="preserve"> </w:t>
      </w:r>
      <w:r>
        <w:t xml:space="preserve">instrument into another are twice as exposed to changed text as an</w:t>
      </w:r>
      <w:r>
        <w:t xml:space="preserve"> </w:t>
      </w:r>
      <w:r>
        <w:t xml:space="preserve">instrument’s references to itself — an asymmetry with a mechanism a drafting</w:t>
      </w:r>
      <w:r>
        <w:t xml:space="preserve"> </w:t>
      </w:r>
      <w:r>
        <w:t xml:space="preserve">process could address, because it exists only because nobody can see the</w:t>
      </w:r>
      <w:r>
        <w:t xml:space="preserve"> </w:t>
      </w:r>
      <w:r>
        <w:t xml:space="preserve">references pointing at what they are about to amend.</w:t>
      </w:r>
    </w:p>
    <w:p>
      <w:pPr>
        <w:pStyle w:val="BodyText"/>
      </w:pPr>
      <w:r>
        <w:t xml:space="preserve">The Law of Sharia Procedure remains the clearest case. It is in force, it is</w:t>
      </w:r>
      <w:r>
        <w:t xml:space="preserve"> </w:t>
      </w:r>
      <w:r>
        <w:t xml:space="preserve">cited, its numbering is intact, and seventy-five of its articles say nothing.</w:t>
      </w:r>
      <w:r>
        <w:t xml:space="preserve"> </w:t>
      </w:r>
      <w:r>
        <w:t xml:space="preserve">Nothing in how it is published conveys that. Now, at least, it can be counted.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corpus and the scripts that reproduce every number</w:t>
      </w:r>
      <w:r>
        <w:t xml:space="preserve"> </w:t>
      </w:r>
      <w:r>
        <w:t xml:space="preserve">and figure here are openly archived; see the data availability statement.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Daniel Martin Katz and Michael</w:t>
      </w:r>
      <w:r>
        <w:t xml:space="preserve"> </w:t>
      </w:r>
      <w:r>
        <w:t xml:space="preserve">J Bommarito,</w:t>
      </w:r>
      <w:r>
        <w:t xml:space="preserve"> </w:t>
      </w:r>
      <w:r>
        <w:t xml:space="preserve">‘</w:t>
      </w:r>
      <w:r>
        <w:t xml:space="preserve">Measuring the Complexity of the Law: The United States Code</w:t>
      </w:r>
      <w:r>
        <w:t xml:space="preserve">’</w:t>
      </w:r>
      <w:r>
        <w:t xml:space="preserve"> </w:t>
      </w:r>
      <w:r>
        <w:t xml:space="preserve">(2014) 22 Artificial Intelligence and Law 337; Corinna Coupette and others,</w:t>
      </w:r>
      <w:r>
        <w:t xml:space="preserve"> </w:t>
      </w:r>
      <w:r>
        <w:t xml:space="preserve">‘</w:t>
      </w:r>
      <w:r>
        <w:t xml:space="preserve">Measuring Law Over Time: A Network Analytical Framework with an Application</w:t>
      </w:r>
      <w:r>
        <w:t xml:space="preserve"> </w:t>
      </w:r>
      <w:r>
        <w:t xml:space="preserve">to Statutes and Regulations in the United States and Germany</w:t>
      </w:r>
      <w:r>
        <w:t xml:space="preserve">’</w:t>
      </w:r>
      <w:r>
        <w:t xml:space="preserve"> </w:t>
      </w:r>
      <w:r>
        <w:t xml:space="preserve">(2021) 9</w:t>
      </w:r>
      <w:r>
        <w:t xml:space="preserve"> </w:t>
      </w:r>
      <w:r>
        <w:t xml:space="preserve">Frontiers in Physics 658463.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Peter Henderson and others,</w:t>
      </w:r>
      <w:r>
        <w:t xml:space="preserve"> </w:t>
      </w:r>
      <w:r>
        <w:t xml:space="preserve">‘</w:t>
      </w:r>
      <w:r>
        <w:t xml:space="preserve">Pile of Law: Learning</w:t>
      </w:r>
      <w:r>
        <w:t xml:space="preserve"> </w:t>
      </w:r>
      <w:r>
        <w:t xml:space="preserve">Responsible Data Filtering from the Law and a 256GB Open-Source Legal</w:t>
      </w:r>
      <w:r>
        <w:t xml:space="preserve"> </w:t>
      </w:r>
      <w:r>
        <w:t xml:space="preserve">Dataset</w:t>
      </w:r>
      <w:r>
        <w:t xml:space="preserve">’</w:t>
      </w:r>
      <w:r>
        <w:t xml:space="preserve"> </w:t>
      </w:r>
      <w:r>
        <w:t xml:space="preserve">(NeurIPS 2022, Datasets and Benchmarks Track); Joel Niklaus and</w:t>
      </w:r>
      <w:r>
        <w:t xml:space="preserve"> </w:t>
      </w:r>
      <w:r>
        <w:t xml:space="preserve">others,</w:t>
      </w:r>
      <w:r>
        <w:t xml:space="preserve"> </w:t>
      </w:r>
      <w:r>
        <w:t xml:space="preserve">‘</w:t>
      </w:r>
      <w:r>
        <w:t xml:space="preserve">MultiLegalPile: A 689GB Multilingual Legal Corpus</w:t>
      </w:r>
      <w:r>
        <w:t xml:space="preserve">’</w:t>
      </w:r>
      <w:r>
        <w:t xml:space="preserve"> </w:t>
      </w:r>
      <w:r>
        <w:t xml:space="preserve">(Proceedings of</w:t>
      </w:r>
      <w:r>
        <w:t xml:space="preserve"> </w:t>
      </w:r>
      <w:r>
        <w:t xml:space="preserve">the 62nd Annual Meeting of the Association for Computational Linguistics,</w:t>
      </w:r>
      <w:r>
        <w:t xml:space="preserve"> </w:t>
      </w:r>
      <w:r>
        <w:t xml:space="preserve">2024).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Monica</w:t>
      </w:r>
      <w:r>
        <w:t xml:space="preserve"> </w:t>
      </w:r>
      <w:r>
        <w:t xml:space="preserve">Palmirani and Fabio Vitali,</w:t>
      </w:r>
      <w:r>
        <w:t xml:space="preserve"> </w:t>
      </w:r>
      <w:r>
        <w:t xml:space="preserve">‘</w:t>
      </w:r>
      <w:r>
        <w:t xml:space="preserve">Akoma-Ntoso for Legal Documents</w:t>
      </w:r>
      <w:r>
        <w:t xml:space="preserve">’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Legislative XML for the Semantic Web</w:t>
      </w:r>
      <w:r>
        <w:t xml:space="preserve"> </w:t>
      </w:r>
      <w:r>
        <w:t xml:space="preserve">(Springer 2011) 75.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Helen Xanthaki,</w:t>
      </w:r>
      <w:r>
        <w:t xml:space="preserve"> </w:t>
      </w:r>
      <w:r>
        <w:rPr>
          <w:iCs/>
          <w:i/>
        </w:rPr>
        <w:t xml:space="preserve">Thornton’s Legislative Drafting</w:t>
      </w:r>
      <w:r>
        <w:t xml:space="preserve"> </w:t>
      </w:r>
      <w:r>
        <w:t xml:space="preserve">(6th edn, Bloomsbury Professional</w:t>
      </w:r>
      <w:r>
        <w:t xml:space="preserve"> </w:t>
      </w:r>
      <w:r>
        <w:t xml:space="preserve">2022) ch 12; Reed Dickerson,</w:t>
      </w:r>
      <w:r>
        <w:t xml:space="preserve"> </w:t>
      </w:r>
      <w:r>
        <w:rPr>
          <w:iCs/>
          <w:i/>
        </w:rPr>
        <w:t xml:space="preserve">The Fundamentals of Legal Drafting</w:t>
      </w:r>
      <w:r>
        <w:t xml:space="preserve"> </w:t>
      </w:r>
      <w:r>
        <w:t xml:space="preserve">(2nd</w:t>
      </w:r>
      <w:r>
        <w:t xml:space="preserve"> </w:t>
      </w:r>
      <w:r>
        <w:t xml:space="preserve">edn, Little, Brown 1986).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</w:pPr>
  </w:style>
  <w:style w:styleId="BodyText" w:type="paragraph">
    <w:name w:val="Body Text"/>
    <w:basedOn w:val="Normal"/>
    <w:link w:val="BodyTextChar"/>
    <w:pPr>
      <w:spacing w:after="0" w:line="48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line="480" w:lineRule="auto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Changes, and Where? Legislative Churn Across Saudi Arabian Legislation</dc:title>
  <dc:creator/>
  <cp:keywords/>
  <dcterms:created xsi:type="dcterms:W3CDTF">2026-08-21T06:27:58Z</dcterms:created>
  <dcterms:modified xsi:type="dcterms:W3CDTF">2026-08-21T06:27:58Z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