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What Changes, and Where?</w:t>
      </w:r>
      <w:r>
        <w:br/>
      </w:r>
      <w:r>
        <w:rPr>
          <w:bCs/>
          <w:b/>
        </w:rPr>
        <w:t xml:space="preserve">Legislative Churn Across Saudi Arabian Legislation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4,367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Three companion manuscripts drawing on the same corpus are under review</w:t>
      </w:r>
      <w:r>
        <w:t xml:space="preserve"> </w:t>
      </w:r>
      <w:r>
        <w:t xml:space="preserve">elsewhere: one describing the corpus as a research resource, one analysing its</w:t>
      </w:r>
      <w:r>
        <w:t xml:space="preserve"> </w:t>
      </w:r>
      <w:r>
        <w:t xml:space="preserve">citation network, and one measuring its definitional lexicon. None overlaps</w:t>
      </w:r>
      <w:r>
        <w:t xml:space="preserve"> </w:t>
      </w:r>
      <w:r>
        <w:t xml:space="preserve">with the present article’s contribution, and none is under consideration by</w:t>
      </w:r>
      <w:r>
        <w:t xml:space="preserve"> </w:t>
      </w:r>
      <w:r>
        <w:t xml:space="preserve">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2026-08-21T06:27:59Z</dcterms:created>
  <dcterms:modified xsi:type="dcterms:W3CDTF">2026-08-21T06:27:59Z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