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system, and that definitions should not multiply without reason.</w:t>
      </w:r>
      <w:r>
        <w:t xml:space="preserve"> </w:t>
      </w:r>
      <w:r>
        <w:t xml:space="preserve">Whether real systems comply has never been measured: the question has been</w:t>
      </w:r>
      <w:r>
        <w:t xml:space="preserve"> </w:t>
      </w:r>
      <w:r>
        <w:t xml:space="preserve">argued from examples, because settling it requires every statutory definition</w:t>
      </w:r>
      <w:r>
        <w:t xml:space="preserve"> </w:t>
      </w:r>
      <w:r>
        <w:t xml:space="preserve">in a jurisdiction, extracted from the instrument that made it.</w:t>
      </w:r>
    </w:p>
    <w:p>
      <w:pPr>
        <w:pStyle w:val="BodyText"/>
      </w:pPr>
      <w:r>
        <w:t xml:space="preserve">This article supplies that measurement, from a corpus of 291 Saudi</w:t>
      </w:r>
      <w:r>
        <w:t xml:space="preserve"> </w:t>
      </w:r>
      <w:r>
        <w:t xml:space="preserve">legislative instruments carrying 1</w:t>
      </w:r>
      <w:r>
        <w:t xml:space="preserve">,</w:t>
      </w:r>
      <w:r>
        <w:t xml:space="preserve">920 defined terms and 3</w:t>
      </w:r>
      <w:r>
        <w:t xml:space="preserve">,</w:t>
      </w:r>
      <w:r>
        <w:t xml:space="preserve">318</w:t>
      </w:r>
      <w:r>
        <w:t xml:space="preserve"> </w:t>
      </w:r>
      <w:r>
        <w:t xml:space="preserve">definitions — and argues that the measurement is worth less than the two</w:t>
      </w:r>
      <w:r>
        <w:t xml:space="preserve"> </w:t>
      </w:r>
      <w:r>
        <w:t xml:space="preserve">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 from substantive</w:t>
      </w:r>
      <w:r>
        <w:t xml:space="preserve"> </w:t>
      </w:r>
      <w:r>
        <w:t xml:space="preserve">ones; indexical definitions are the most repeated in the corpus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across every instrument that defines them yields</w:t>
      </w:r>
      <w:r>
        <w:t xml:space="preserve"> </w:t>
      </w:r>
      <w:r>
        <w:t xml:space="preserve">4 genuine conflicts. A sole trader with no employees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under the Competition Law and not one under the Labour</w:t>
      </w:r>
      <w:r>
        <w:t xml:space="preserve"> </w:t>
      </w:r>
      <w:r>
        <w:t xml:space="preserve">Law; that is a real conflict, and most apparent ones are not.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291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291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291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(Royal Decree M/75, 29/6/1440H)</w:t>
      </w:r>
      <w:r>
        <w:t xml:space="preserve"> </w:t>
      </w:r>
      <w:r>
        <w:t xml:space="preserve">art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(Royal Decree M/51, 23/8/1426H) art</w:t>
      </w:r>
      <w:r>
        <w:t xml:space="preserve"> </w:t>
      </w:r>
      <w:r>
        <w:t xml:space="preserve">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s 5 and sch 1; Acts</w:t>
      </w:r>
      <w:r>
        <w:t xml:space="preserve"> </w:t>
      </w:r>
      <w:r>
        <w:t xml:space="preserve">Interpretation Act 1901 (Cth), pt 2 div 2; Interpretation Act, RSC 1985, c</w:t>
      </w:r>
      <w:r>
        <w:t xml:space="preserve"> </w:t>
      </w:r>
      <w:r>
        <w:t xml:space="preserve">I-21, s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 (Royal Order A/90,</w:t>
      </w:r>
      <w:r>
        <w:t xml:space="preserve"> </w:t>
      </w:r>
      <w:r>
        <w:t xml:space="preserve">27/8/1412H) is constitutional in character and supplies no general</w:t>
      </w:r>
      <w:r>
        <w:t xml:space="preserve"> </w:t>
      </w:r>
      <w:r>
        <w:t xml:space="preserve">definitional apparatus. This is a statement about the 291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 edn, Little, Brown 1986) ch 7; Helen Xanthaki,</w:t>
      </w:r>
      <w:r>
        <w:t xml:space="preserve"> </w:t>
      </w:r>
      <w:r>
        <w:rPr>
          <w:iCs/>
          <w:i/>
        </w:rPr>
        <w:t xml:space="preserve">Thornton’s</w:t>
      </w:r>
      <w:r>
        <w:rPr>
          <w:iCs/>
          <w:i/>
        </w:rPr>
        <w:t xml:space="preserve"> </w:t>
      </w:r>
      <w:r>
        <w:rPr>
          <w:iCs/>
          <w:i/>
        </w:rPr>
        <w:t xml:space="preserve">Legislative Drafting</w:t>
      </w:r>
      <w:r>
        <w:t xml:space="preserve"> </w:t>
      </w:r>
      <w:r>
        <w:t xml:space="preserve">(6th edn, Bloomsbury Professional 2022) ch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Drafting Legislation: Art and</w:t>
      </w:r>
      <w:r>
        <w:rPr>
          <w:iCs/>
          <w:i/>
        </w:rPr>
        <w:t xml:space="preserve"> </w:t>
      </w:r>
      <w:r>
        <w:rPr>
          <w:iCs/>
          <w:i/>
        </w:rPr>
        <w:t xml:space="preserve">Technology of Rules for Regulation</w:t>
      </w:r>
      <w:r>
        <w:t xml:space="preserve"> </w:t>
      </w:r>
      <w:r>
        <w:t xml:space="preserve">(Hart 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</w:t>
      </w:r>
      <w:r>
        <w:rPr>
          <w:iCs/>
          <w:i/>
        </w:rPr>
        <w:t xml:space="preserve"> </w:t>
      </w:r>
      <w:r>
        <w:rPr>
          <w:iCs/>
          <w:i/>
        </w:rPr>
        <w:t xml:space="preserve">Statutory Interpretation</w:t>
      </w:r>
      <w:r>
        <w:t xml:space="preserve"> </w:t>
      </w:r>
      <w:r>
        <w:t xml:space="preserve">(8th edn, LexisNexis Butterworths 2020) ss 21.3 and 24.3; Antonin Scalia and Bryan A Garner,</w:t>
      </w:r>
      <w:r>
        <w:t xml:space="preserve"> </w:t>
      </w:r>
      <w:r>
        <w:rPr>
          <w:iCs/>
          <w:i/>
        </w:rPr>
        <w:t xml:space="preserve">Reading Law: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 of Legal Texts</w:t>
      </w:r>
      <w:r>
        <w:t xml:space="preserve"> </w:t>
      </w:r>
      <w:r>
        <w:t xml:space="preserve">(Thomson/West 2012)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 Fabio Vitali,</w:t>
      </w:r>
      <w:r>
        <w:t xml:space="preserve"> </w:t>
      </w:r>
      <w:r>
        <w:t xml:space="preserve">‘</w:t>
      </w:r>
      <w:r>
        <w:t xml:space="preserve">Akoma-Ntoso for Legal</w:t>
      </w:r>
      <w:r>
        <w:t xml:space="preserve"> </w:t>
      </w:r>
      <w:r>
        <w:t xml:space="preserve">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</w:t>
      </w:r>
      <w:r>
        <w:t xml:space="preserve"> </w:t>
      </w:r>
      <w:r>
        <w:t xml:space="preserve">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 J Bommarito,</w:t>
      </w:r>
      <w:r>
        <w:t xml:space="preserve"> </w:t>
      </w:r>
      <w:r>
        <w:t xml:space="preserve">‘</w:t>
      </w:r>
      <w:r>
        <w:t xml:space="preserve">Measuring</w:t>
      </w:r>
      <w:r>
        <w:t xml:space="preserve"> </w:t>
      </w:r>
      <w:r>
        <w:t xml:space="preserve">the Complexity of the Law: The United States Code</w:t>
      </w:r>
      <w:r>
        <w:t xml:space="preserve">’</w:t>
      </w:r>
      <w:r>
        <w:t xml:space="preserve"> </w:t>
      </w:r>
      <w:r>
        <w:t xml:space="preserve">(2014) 22 Artificial</w:t>
      </w:r>
      <w:r>
        <w:t xml:space="preserve"> </w:t>
      </w:r>
      <w:r>
        <w:t xml:space="preserve">Intelligence and Law 337; Corinna Coupette and others,</w:t>
      </w:r>
      <w:r>
        <w:t xml:space="preserve"> </w:t>
      </w:r>
      <w:r>
        <w:t xml:space="preserve">‘</w:t>
      </w:r>
      <w:r>
        <w:t xml:space="preserve">Measuring Law Over</w:t>
      </w:r>
      <w:r>
        <w:t xml:space="preserve"> </w:t>
      </w:r>
      <w:r>
        <w:t xml:space="preserve">Time: A Network Analytical Framework with an Application to Statutes and</w:t>
      </w:r>
      <w:r>
        <w:t xml:space="preserve"> </w:t>
      </w:r>
      <w:r>
        <w:t xml:space="preserve">Regulations in the United States and Germany</w:t>
      </w:r>
      <w:r>
        <w:t xml:space="preserve">’</w:t>
      </w:r>
      <w:r>
        <w:t xml:space="preserve"> </w:t>
      </w:r>
      <w:r>
        <w:t xml:space="preserve">(2021) 9 Frontiers in Physics</w:t>
      </w:r>
      <w:r>
        <w:t xml:space="preserve"> </w:t>
      </w:r>
      <w:r>
        <w:t xml:space="preserve">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art 1; Implementing Regulation of</w:t>
      </w:r>
      <w:r>
        <w:t xml:space="preserve"> </w:t>
      </w:r>
      <w:r>
        <w:t xml:space="preserve">the Competition Law (GAC Board Decision 337, 25/1/1441H) art 1.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</w:t>
      </w:r>
      <w:r>
        <w:t xml:space="preserve"> </w:t>
      </w:r>
      <w:r>
        <w:t xml:space="preserve">under art 19 of the Anti-Concealment Law (Royal Decree M/4, 1/1/1442H) art</w:t>
      </w:r>
      <w:r>
        <w:t xml:space="preserve"> </w:t>
      </w:r>
      <w:r>
        <w:t xml:space="preserve">1.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art 2; High-Risk</w:t>
      </w:r>
      <w:r>
        <w:t xml:space="preserve"> </w:t>
      </w:r>
      <w:r>
        <w:t xml:space="preserve">Professions Work Organization Regulation art 1; OSH Service Providers</w:t>
      </w:r>
      <w:r>
        <w:t xml:space="preserve"> </w:t>
      </w:r>
      <w:r>
        <w:t xml:space="preserve">Licensing and Accreditation Regulation art 1.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 (Ministerial Resolution</w:t>
      </w:r>
      <w:r>
        <w:t xml:space="preserve"> </w:t>
      </w:r>
      <w:r>
        <w:t xml:space="preserve">230/</w:t>
      </w:r>
      <w:r>
        <w:rPr>
          <w:iCs/>
          <w:i/>
        </w:rPr>
        <w:t xml:space="preserve">ta’minat</w:t>
      </w:r>
      <w:r>
        <w:t xml:space="preserve">, 26/12/1445H) art 1;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 (Royal Decree M/113,</w:t>
      </w:r>
      <w:r>
        <w:t xml:space="preserve"> </w:t>
      </w:r>
      <w:r>
        <w:t xml:space="preserve">2/11/1438H) art 1; Real Estate Transaction Tax Law (Royal Decree M/84,</w:t>
      </w:r>
      <w:r>
        <w:t xml:space="preserve"> </w:t>
      </w:r>
      <w:r>
        <w:t xml:space="preserve">19/3/1446H) art 1.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 (Royal Decree M/1, 15/1/1425H) art 1.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</w:t>
      </w:r>
      <w:r>
        <w:t xml:space="preserve"> </w:t>
      </w:r>
      <w:r>
        <w:t xml:space="preserve">Collection Implementing Regulation (Minister of Finance Resolution 1007,</w:t>
      </w:r>
      <w:r>
        <w:t xml:space="preserve"> </w:t>
      </w:r>
      <w:r>
        <w:t xml:space="preserve">19/8/1445H) art 1.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 (Royal Decree M/37, 5/7/1429H) art</w:t>
      </w:r>
      <w:r>
        <w:t xml:space="preserve"> </w:t>
      </w:r>
      <w:r>
        <w:t xml:space="preserve">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 (Royal</w:t>
      </w:r>
      <w:r>
        <w:t xml:space="preserve"> </w:t>
      </w:r>
      <w:r>
        <w:t xml:space="preserve">Decree M/126, 7/11/1440H) art 1.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 (Royal Decree M/26,</w:t>
      </w:r>
      <w:r>
        <w:t xml:space="preserve"> </w:t>
      </w:r>
      <w:r>
        <w:t xml:space="preserve">22/3/1443H) art 1.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</w:t>
      </w:r>
      <w:r>
        <w:t xml:space="preserve"> </w:t>
      </w:r>
      <w:r>
        <w:t xml:space="preserve">made under the Environmental Law (Royal Decree M/165, 19/11/1441H):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</w:t>
      </w:r>
      <w:r>
        <w:t xml:space="preserve"> </w:t>
      </w:r>
      <w:r>
        <w:t xml:space="preserve">(Royal Decree M/44, 18/7/1426H) art 1.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 (Royal Decree</w:t>
      </w:r>
      <w:r>
        <w:t xml:space="preserve"> </w:t>
      </w:r>
      <w:r>
        <w:t xml:space="preserve">M/106, 2/11/1443H) art 1.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2026-08-29T08:02:07Z</dcterms:created>
  <dcterms:modified xsi:type="dcterms:W3CDTF">2026-08-29T08:02:07Z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